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1AA5" w:rsidRPr="00D7188F" w:rsidRDefault="00341AA5" w:rsidP="00341AA5">
      <w:pPr>
        <w:widowControl w:val="0"/>
        <w:autoSpaceDE w:val="0"/>
        <w:autoSpaceDN w:val="0"/>
        <w:adjustRightInd w:val="0"/>
        <w:ind w:left="3969"/>
        <w:jc w:val="right"/>
        <w:rPr>
          <w:bCs/>
          <w:sz w:val="24"/>
          <w:szCs w:val="24"/>
        </w:rPr>
      </w:pPr>
      <w:r w:rsidRPr="00D7188F">
        <w:rPr>
          <w:bCs/>
          <w:sz w:val="24"/>
          <w:szCs w:val="24"/>
        </w:rPr>
        <w:t xml:space="preserve">Приложение </w:t>
      </w:r>
      <w:r w:rsidR="00C86519" w:rsidRPr="00D7188F">
        <w:rPr>
          <w:bCs/>
          <w:sz w:val="24"/>
          <w:szCs w:val="24"/>
        </w:rPr>
        <w:t xml:space="preserve">№ </w:t>
      </w:r>
      <w:r w:rsidR="00C04B7A">
        <w:rPr>
          <w:bCs/>
          <w:sz w:val="24"/>
          <w:szCs w:val="24"/>
        </w:rPr>
        <w:t>7</w:t>
      </w:r>
    </w:p>
    <w:p w:rsidR="00341AA5" w:rsidRPr="00D7188F" w:rsidRDefault="007E0093" w:rsidP="00341AA5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  <w:r w:rsidRPr="00D7188F">
        <w:rPr>
          <w:bCs/>
          <w:sz w:val="24"/>
          <w:szCs w:val="24"/>
        </w:rPr>
        <w:t xml:space="preserve">                              </w:t>
      </w:r>
      <w:r w:rsidR="00C86519" w:rsidRPr="00D7188F">
        <w:rPr>
          <w:bCs/>
          <w:sz w:val="24"/>
          <w:szCs w:val="24"/>
        </w:rPr>
        <w:t xml:space="preserve">                                   </w:t>
      </w:r>
      <w:r w:rsidRPr="00D7188F">
        <w:rPr>
          <w:bCs/>
          <w:sz w:val="24"/>
          <w:szCs w:val="24"/>
        </w:rPr>
        <w:t xml:space="preserve"> к </w:t>
      </w:r>
      <w:r w:rsidR="00C86519" w:rsidRPr="00D7188F">
        <w:rPr>
          <w:bCs/>
          <w:sz w:val="24"/>
          <w:szCs w:val="24"/>
        </w:rPr>
        <w:t>учетной политике</w:t>
      </w:r>
    </w:p>
    <w:p w:rsidR="007100B0" w:rsidRPr="00D7188F" w:rsidRDefault="007100B0" w:rsidP="00341AA5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  <w:r w:rsidRPr="00D7188F">
        <w:rPr>
          <w:bCs/>
          <w:sz w:val="24"/>
          <w:szCs w:val="24"/>
        </w:rPr>
        <w:t xml:space="preserve">              утвержденной приказом от 25.12.2018 № 116-осн</w:t>
      </w:r>
    </w:p>
    <w:p w:rsidR="004F3050" w:rsidRPr="00D7188F" w:rsidRDefault="004F3050" w:rsidP="00341AA5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</w:p>
    <w:p w:rsidR="007100B0" w:rsidRPr="00D7188F" w:rsidRDefault="007E0093" w:rsidP="00D7188F">
      <w:r w:rsidRPr="00D7188F">
        <w:rPr>
          <w:sz w:val="24"/>
          <w:szCs w:val="24"/>
          <w:lang w:eastAsia="en-US" w:bidi="en-US"/>
        </w:rPr>
        <w:t xml:space="preserve">               </w:t>
      </w:r>
    </w:p>
    <w:p w:rsidR="00CD3A2A" w:rsidRPr="00CD3A2A" w:rsidRDefault="00CD3A2A" w:rsidP="00CD3A2A">
      <w:pPr>
        <w:spacing w:before="100" w:beforeAutospacing="1" w:after="100" w:afterAutospacing="1"/>
        <w:jc w:val="center"/>
        <w:outlineLvl w:val="1"/>
        <w:rPr>
          <w:b/>
          <w:bCs/>
          <w:color w:val="000000"/>
          <w:sz w:val="28"/>
          <w:szCs w:val="28"/>
        </w:rPr>
      </w:pPr>
      <w:r w:rsidRPr="00CD3A2A">
        <w:rPr>
          <w:b/>
          <w:bCs/>
          <w:color w:val="000000"/>
          <w:sz w:val="28"/>
          <w:szCs w:val="28"/>
        </w:rPr>
        <w:t>Порядок расчетов с подотчетными лицами</w:t>
      </w:r>
    </w:p>
    <w:p w:rsidR="00CD3A2A" w:rsidRPr="00CD3A2A" w:rsidRDefault="00CD3A2A" w:rsidP="00CD3A2A">
      <w:pPr>
        <w:spacing w:before="100" w:beforeAutospacing="1" w:after="100" w:afterAutospacing="1"/>
        <w:jc w:val="center"/>
        <w:outlineLvl w:val="1"/>
        <w:rPr>
          <w:b/>
          <w:bCs/>
          <w:color w:val="000000"/>
          <w:sz w:val="24"/>
          <w:szCs w:val="24"/>
        </w:rPr>
      </w:pPr>
      <w:r w:rsidRPr="00CD3A2A">
        <w:rPr>
          <w:b/>
          <w:bCs/>
          <w:color w:val="000000"/>
          <w:sz w:val="24"/>
          <w:szCs w:val="24"/>
        </w:rPr>
        <w:t>1. Общие положения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1.1. Настоящее Положение о порядке расчетов с подотчетными лицами (далее — Положение) разработано в соответствии с: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 xml:space="preserve">- </w:t>
      </w:r>
      <w:hyperlink r:id="rId5" w:anchor="/document/12180849/entry/2000" w:tgtFrame="_blank" w:tooltip="Открыть документ в системе Гарант" w:history="1">
        <w:r w:rsidRPr="00CD3A2A">
          <w:rPr>
            <w:color w:val="000000"/>
            <w:sz w:val="24"/>
            <w:szCs w:val="24"/>
          </w:rPr>
          <w:t>Инструкцией</w:t>
        </w:r>
      </w:hyperlink>
      <w:r w:rsidRPr="00CD3A2A">
        <w:rPr>
          <w:sz w:val="24"/>
          <w:szCs w:val="24"/>
        </w:rPr>
        <w:t xml:space="preserve"> по применению единого плана счетов бухгалтерского учета для государственных органов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учреждений, утвержденной </w:t>
      </w:r>
      <w:hyperlink r:id="rId6" w:anchor="/document/12180849/entry/0" w:tgtFrame="_blank" w:tooltip="Открыть документ в системе Гарант" w:history="1">
        <w:r w:rsidRPr="00CD3A2A">
          <w:rPr>
            <w:color w:val="000000"/>
            <w:sz w:val="24"/>
            <w:szCs w:val="24"/>
          </w:rPr>
          <w:t>приказом</w:t>
        </w:r>
      </w:hyperlink>
      <w:r w:rsidRPr="00CD3A2A">
        <w:rPr>
          <w:sz w:val="24"/>
          <w:szCs w:val="24"/>
        </w:rPr>
        <w:t xml:space="preserve"> Минфина России от 01.12.2010 N 157н (далее - Инструкции N 157);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 xml:space="preserve">- </w:t>
      </w:r>
      <w:hyperlink r:id="rId7" w:anchor="/document/70951956/entry/0" w:tgtFrame="_blank" w:tooltip="Открыть документ в системе Гарант" w:history="1">
        <w:r w:rsidRPr="00CD3A2A">
          <w:rPr>
            <w:color w:val="000000"/>
            <w:sz w:val="24"/>
            <w:szCs w:val="24"/>
          </w:rPr>
          <w:t>приказом</w:t>
        </w:r>
      </w:hyperlink>
      <w:r w:rsidRPr="00CD3A2A">
        <w:rPr>
          <w:sz w:val="24"/>
          <w:szCs w:val="24"/>
        </w:rPr>
        <w:t xml:space="preserve"> Минфина России от 30.03.2015 N 52н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 (далее - Приказ N 52н);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 xml:space="preserve">- </w:t>
      </w:r>
      <w:hyperlink r:id="rId8" w:anchor="/document/70664762/entry/0" w:tgtFrame="_blank" w:tooltip="Открыть документ в системе Гарант" w:history="1">
        <w:r w:rsidRPr="00CD3A2A">
          <w:rPr>
            <w:color w:val="000000"/>
            <w:sz w:val="24"/>
            <w:szCs w:val="24"/>
          </w:rPr>
          <w:t>Указанием</w:t>
        </w:r>
      </w:hyperlink>
      <w:r w:rsidRPr="00CD3A2A">
        <w:rPr>
          <w:sz w:val="24"/>
          <w:szCs w:val="24"/>
        </w:rPr>
        <w:t xml:space="preserve"> Банка России от 11.03.2014 N 3210-У "О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предпринимательства";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 xml:space="preserve">- </w:t>
      </w:r>
      <w:hyperlink r:id="rId9" w:anchor="/document/70755696/entry/1000" w:tgtFrame="_blank" w:tooltip="Открыть документ в системе Гарант" w:history="1">
        <w:r w:rsidRPr="00CD3A2A">
          <w:rPr>
            <w:color w:val="000000"/>
            <w:sz w:val="24"/>
            <w:szCs w:val="24"/>
          </w:rPr>
          <w:t>Правилами</w:t>
        </w:r>
      </w:hyperlink>
      <w:r w:rsidRPr="00CD3A2A">
        <w:rPr>
          <w:sz w:val="24"/>
          <w:szCs w:val="24"/>
        </w:rPr>
        <w:t xml:space="preserve">, утвержденными </w:t>
      </w:r>
      <w:hyperlink r:id="rId10" w:anchor="/document/70755696/entry/0" w:tgtFrame="_blank" w:tooltip="Открыть документ в системе Гарант" w:history="1">
        <w:r w:rsidRPr="00CD3A2A">
          <w:rPr>
            <w:color w:val="000000"/>
            <w:sz w:val="24"/>
            <w:szCs w:val="24"/>
          </w:rPr>
          <w:t>приказом</w:t>
        </w:r>
      </w:hyperlink>
      <w:r w:rsidRPr="00CD3A2A">
        <w:rPr>
          <w:sz w:val="24"/>
          <w:szCs w:val="24"/>
        </w:rPr>
        <w:t xml:space="preserve"> Федерального казначейства от 30.06.2014 N 10н.</w:t>
      </w:r>
    </w:p>
    <w:p w:rsidR="00CD3A2A" w:rsidRPr="00CD3A2A" w:rsidRDefault="00CD3A2A" w:rsidP="00CD3A2A">
      <w:pPr>
        <w:spacing w:before="100" w:beforeAutospacing="1" w:after="100" w:afterAutospacing="1"/>
        <w:jc w:val="center"/>
        <w:outlineLvl w:val="1"/>
        <w:rPr>
          <w:b/>
          <w:bCs/>
          <w:color w:val="000000"/>
          <w:sz w:val="24"/>
          <w:szCs w:val="24"/>
        </w:rPr>
      </w:pPr>
      <w:r w:rsidRPr="00CD3A2A">
        <w:rPr>
          <w:b/>
          <w:bCs/>
          <w:color w:val="000000"/>
          <w:sz w:val="24"/>
          <w:szCs w:val="24"/>
        </w:rPr>
        <w:t>2. Порядок выдачи денежных средств и денежных документов под отчет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2.1. Денежные средства выдаются под отчет на расходы, связанные с приобретением товаров (работ, услуг), и командировочные расходы.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2.2. Выдача под отчет денежных средств для приобретения товаров (работ, услуг) производится работникам, поименованным в Приказе лиц, имеющих право получать денежные средства под отчет на указанные цели.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Авансы для осуществления расходов в целях организации разовых мероприятий (семинаров, конференций и т.п.), порядок проведения которых определяется отдельным приказом (распоряжением) руководителя организации, выдаются сотрудникам, указанным в данном приказе (распоряжении).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2.3. Авансы на командировочные расходы выдаются под отчет лицам, работающим в учреждении на основании трудовых договоров (сотрудникам учреждения), направленным в служебную командировку в соответствии с приказом руководителя.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2.4. Не допускается выдача денежных средств под отчет физическим лицам, не являющимся сотрудниками организации. Выдача денежных средств таким физическим лицам допускается только на основании Распоряжения Главного распорядителя бюджетных средств.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lastRenderedPageBreak/>
        <w:t>2.5. Не допускается передача выданных под отчет денежных средств (денежных документов) одним лицом другому.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2.6. Денежные средства и денежные документы выдаются под отчет только по распоряжению руководителя учреждения и на основании заявления подотчетного лица (далее также - Заявление).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Выдача под отчет денежных средств осуществляется только при отсутствии задолженности по ранее выданным под отчет денежным средствам, по которым наступил срок предоставления Авансового отчета.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 xml:space="preserve">2.7. Денежные документы могут быть выданы под отчет только при условии представления отчета об использовании ранее выданных денежных документов соответствующего вида. 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2.8. Распоряжение руководителя о выдаче денежных средств (денежных документов) под отчет оформляется приказом.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 xml:space="preserve">2.9. Заявление на получение денежных средств под отчет формируются в программе 1-С: Предприятие. 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 xml:space="preserve">2.10. В Заявлении на получение денежных средств указываются конкретные направления расходов, которые планирует осуществить подотчетное лицо. Заявление без указания целей расходования денежных средств или с формальным указанием планируемых направлений расходов (например, "на хозрасходы", "на проведение праздничного мероприятия") считается неоформленным и не может являться основанием для выдачи денежных средств под отчет, так как не позволяет однозначно определить расходные коды </w:t>
      </w:r>
      <w:hyperlink r:id="rId11" w:anchor="/document/70408460/entry/4200" w:tgtFrame="_blank" w:tooltip="Открыть документ в системе Гарант" w:history="1">
        <w:r w:rsidRPr="00CD3A2A">
          <w:rPr>
            <w:color w:val="000000"/>
            <w:sz w:val="24"/>
            <w:szCs w:val="24"/>
          </w:rPr>
          <w:t>бюджетной классификации</w:t>
        </w:r>
      </w:hyperlink>
      <w:r w:rsidRPr="00CD3A2A">
        <w:rPr>
          <w:sz w:val="24"/>
          <w:szCs w:val="24"/>
        </w:rPr>
        <w:t>. Размер подотчетной суммы, испрашиваемой сотрудником, определяется на основании предварительного расчета. Расчет производится подотчетным лицом исходя из расценок (тарифов, норм), действующих на день подачи Заявления.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Заявление на получение денежных средств под отчет оформляется с учетом следующих требований: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6"/>
        <w:gridCol w:w="5009"/>
      </w:tblGrid>
      <w:tr w:rsidR="00CD3A2A" w:rsidRPr="00CD3A2A" w:rsidTr="003F6758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center"/>
              <w:outlineLvl w:val="1"/>
              <w:rPr>
                <w:b/>
                <w:bCs/>
                <w:color w:val="000000"/>
                <w:sz w:val="24"/>
                <w:szCs w:val="24"/>
              </w:rPr>
            </w:pPr>
            <w:r w:rsidRPr="00CD3A2A">
              <w:rPr>
                <w:b/>
                <w:bCs/>
                <w:color w:val="000000"/>
                <w:sz w:val="24"/>
                <w:szCs w:val="24"/>
              </w:rPr>
              <w:t>Назначение аванса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center"/>
              <w:outlineLvl w:val="1"/>
              <w:rPr>
                <w:b/>
                <w:bCs/>
                <w:color w:val="000000"/>
                <w:sz w:val="24"/>
                <w:szCs w:val="24"/>
              </w:rPr>
            </w:pPr>
            <w:r w:rsidRPr="00CD3A2A">
              <w:rPr>
                <w:b/>
                <w:bCs/>
                <w:color w:val="000000"/>
                <w:sz w:val="24"/>
                <w:szCs w:val="24"/>
              </w:rPr>
              <w:t>Требования к оформлению заявления</w:t>
            </w:r>
          </w:p>
        </w:tc>
      </w:tr>
      <w:tr w:rsidR="00CD3A2A" w:rsidRPr="00CD3A2A" w:rsidTr="003F6758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На служебную командировку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Приводится ссылка на приказ о командировании, указывается место командирования и срок командировки</w:t>
            </w:r>
          </w:p>
        </w:tc>
      </w:tr>
      <w:tr w:rsidR="00CD3A2A" w:rsidRPr="00CD3A2A" w:rsidTr="003F6758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На закупку товарно-материальных ценностей (ТМЦ)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Указывается номенклатура, количество и цены товаров (согласно предварительным расчетам). Перечень должен позволить однозначно определить, планируется ли приобретение основных средств или материальных запасов, а также классифицировать приобретаемые ТМЦ по кодам бюджетной классификации (в т.ч. кодам видов расходов)</w:t>
            </w:r>
          </w:p>
        </w:tc>
      </w:tr>
      <w:tr w:rsidR="00CD3A2A" w:rsidRPr="00CD3A2A" w:rsidTr="003F6758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На оплату услуг, работ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 xml:space="preserve">Приводится номенклатура (перечень) услуг (работ) и их стоимость (согласно предварительным расчетам). Приведенный перечень должен позволять однозначно классифицировать услуги, работы по кодам </w:t>
            </w:r>
            <w:r w:rsidRPr="00CD3A2A">
              <w:rPr>
                <w:color w:val="000000"/>
                <w:sz w:val="24"/>
                <w:szCs w:val="24"/>
              </w:rPr>
              <w:lastRenderedPageBreak/>
              <w:t>КОСГУ, по иным кодам бюджетной классификации (кодам видов расходов)</w:t>
            </w:r>
          </w:p>
        </w:tc>
      </w:tr>
      <w:tr w:rsidR="00CD3A2A" w:rsidRPr="00CD3A2A" w:rsidTr="003F6758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lastRenderedPageBreak/>
              <w:t>Компенсация расходов сотрудника, самостоятельно произведенных им в интересах учреждения в обстоятельствах, исключающих предварительное получение аванса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Указываются соответствующие обстоятельства, а также перечень товаров (работ, услуг), фактически приобретенных (оплаченных) сотрудником</w:t>
            </w:r>
          </w:p>
        </w:tc>
      </w:tr>
      <w:tr w:rsidR="00CD3A2A" w:rsidRPr="00CD3A2A" w:rsidTr="003F6758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Компенсация расходов сотрудника, понесенных им в интересах учреждения (кроме чрезвычайных обстоятельств)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Приводится перечень товаров (работ, услуг), фактически приобретенных (оплаченных) сотрудником.</w:t>
            </w:r>
          </w:p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Кроме того, в заявлении должна содержаться информация о том, почему сотрудник полагает, что произведенные им по собственной инициативе расходы будут полезны учреждению</w:t>
            </w:r>
          </w:p>
        </w:tc>
      </w:tr>
    </w:tbl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2.11. Расчеты с подотчетными лицами осуществляются путем безналичного перечисления на банковскую карту.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 xml:space="preserve">2.12. Срок, </w:t>
      </w:r>
      <w:proofErr w:type="gramStart"/>
      <w:r w:rsidRPr="00CD3A2A">
        <w:rPr>
          <w:sz w:val="24"/>
          <w:szCs w:val="24"/>
        </w:rPr>
        <w:t>на который согласно Заявлению</w:t>
      </w:r>
      <w:proofErr w:type="gramEnd"/>
      <w:r w:rsidRPr="00CD3A2A">
        <w:rPr>
          <w:sz w:val="24"/>
          <w:szCs w:val="24"/>
        </w:rPr>
        <w:t xml:space="preserve"> выдаются денежные средства не может превышать: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- сроку командировки (со дня выезда по день приезда</w:t>
      </w:r>
      <w:proofErr w:type="gramStart"/>
      <w:r w:rsidRPr="00CD3A2A">
        <w:rPr>
          <w:sz w:val="24"/>
          <w:szCs w:val="24"/>
        </w:rPr>
        <w:t>) .</w:t>
      </w:r>
      <w:proofErr w:type="gramEnd"/>
      <w:r w:rsidRPr="00CD3A2A">
        <w:rPr>
          <w:sz w:val="24"/>
          <w:szCs w:val="24"/>
        </w:rPr>
        <w:t xml:space="preserve"> 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 xml:space="preserve">2.13. Сумма выдачи денежных средств под отчет на эти цели с применением расчетных (дебетовых) карт не может превышать </w:t>
      </w:r>
      <w:proofErr w:type="gramStart"/>
      <w:r w:rsidRPr="00CD3A2A">
        <w:rPr>
          <w:sz w:val="24"/>
          <w:szCs w:val="24"/>
        </w:rPr>
        <w:t>суммы</w:t>
      </w:r>
      <w:proofErr w:type="gramEnd"/>
      <w:r w:rsidRPr="00CD3A2A">
        <w:rPr>
          <w:sz w:val="24"/>
          <w:szCs w:val="24"/>
        </w:rPr>
        <w:t xml:space="preserve"> указанной в смете. </w:t>
      </w:r>
    </w:p>
    <w:p w:rsidR="00CD3A2A" w:rsidRPr="00CD3A2A" w:rsidRDefault="00CD3A2A" w:rsidP="00CD3A2A">
      <w:pPr>
        <w:spacing w:before="100" w:beforeAutospacing="1" w:after="100" w:afterAutospacing="1"/>
        <w:jc w:val="center"/>
        <w:outlineLvl w:val="1"/>
        <w:rPr>
          <w:b/>
          <w:bCs/>
          <w:color w:val="000000"/>
          <w:sz w:val="24"/>
          <w:szCs w:val="24"/>
        </w:rPr>
      </w:pPr>
      <w:r w:rsidRPr="00CD3A2A">
        <w:rPr>
          <w:b/>
          <w:bCs/>
          <w:color w:val="000000"/>
          <w:sz w:val="24"/>
          <w:szCs w:val="24"/>
        </w:rPr>
        <w:t>3. Порядок представления авансового отчета и подтверждения расходования (использования) денежных средств (денежных документов)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3.1. Сотрудник обязан представить Авансовый отчет (</w:t>
      </w:r>
      <w:hyperlink r:id="rId12" w:anchor="/document/70951956/entry/2240" w:tgtFrame="_blank" w:tooltip="Открыть документ в системе Гарант" w:history="1">
        <w:r w:rsidRPr="00CD3A2A">
          <w:rPr>
            <w:color w:val="000000"/>
            <w:sz w:val="24"/>
            <w:szCs w:val="24"/>
          </w:rPr>
          <w:t>ф. 0504505</w:t>
        </w:r>
      </w:hyperlink>
      <w:r w:rsidRPr="00CD3A2A">
        <w:rPr>
          <w:sz w:val="24"/>
          <w:szCs w:val="24"/>
        </w:rPr>
        <w:t>) не позднее: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- трех рабочих дней после дня истечения срока, на который выданы денежные средства (денежные документы) под отчет;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- дня выхода на работу.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Независимо от срока, на который выдан аванс, подотчетному лицу надлежит представить авансовый отчет и сдать неиспользованный остаток аванса при убытии в отпуск, командировку (за исключением тех случаев, когда аванс представляется на осуществление расходов в отпуске, командировке). В случае заболевания подотчетного лица представление авансового отчета и сдача неиспользованного остатка аванса осуществляется этим лицом в порядке, согласованном с руководителем организации.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3.2. Если сотрудник не отчитался за полученные под отчет денежные средства в установленные сроки, сумма задолженности удерживается из доходов этого сотрудника в порядке, предусмотренном действующим законодательством.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3.3. Не допускается расходование денежных средств, полученных под отчет, на цели, не предусмотренные утвержденным в установленном порядке Заявлением.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proofErr w:type="gramStart"/>
      <w:r w:rsidRPr="00CD3A2A">
        <w:rPr>
          <w:sz w:val="24"/>
          <w:szCs w:val="24"/>
        </w:rPr>
        <w:lastRenderedPageBreak/>
        <w:t>Если согласно представленному авансовому отчету</w:t>
      </w:r>
      <w:proofErr w:type="gramEnd"/>
      <w:r w:rsidRPr="00CD3A2A">
        <w:rPr>
          <w:sz w:val="24"/>
          <w:szCs w:val="24"/>
        </w:rPr>
        <w:t xml:space="preserve"> такие расходы осуществлялись, по решению руководителя этот авансовый отчет может быть не принят к учету, а соответствующие денежные средства подлежат возврату. 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3.4. Признание расходов, произведенных подотчетным лицом, возможно только на основании документов, подтверждающих: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- получение конкретного имущества, оказание (выполнение) определенных услуг (работ);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- факт совершения расходов;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- дату совершения расходов;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- сумму произведенных расходов.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Отчетными документами по отдельным видам расходов являются: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0"/>
        <w:gridCol w:w="5465"/>
      </w:tblGrid>
      <w:tr w:rsidR="00CD3A2A" w:rsidRPr="00CD3A2A" w:rsidTr="003F6758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center"/>
              <w:outlineLvl w:val="1"/>
              <w:rPr>
                <w:b/>
                <w:bCs/>
                <w:color w:val="000000"/>
                <w:sz w:val="24"/>
                <w:szCs w:val="24"/>
              </w:rPr>
            </w:pPr>
            <w:r w:rsidRPr="00CD3A2A">
              <w:rPr>
                <w:b/>
                <w:bCs/>
                <w:color w:val="000000"/>
                <w:sz w:val="24"/>
                <w:szCs w:val="24"/>
              </w:rPr>
              <w:t>Вид расходов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center"/>
              <w:outlineLvl w:val="1"/>
              <w:rPr>
                <w:b/>
                <w:bCs/>
                <w:color w:val="000000"/>
                <w:sz w:val="24"/>
                <w:szCs w:val="24"/>
              </w:rPr>
            </w:pPr>
            <w:r w:rsidRPr="00CD3A2A">
              <w:rPr>
                <w:b/>
                <w:bCs/>
                <w:color w:val="000000"/>
                <w:sz w:val="24"/>
                <w:szCs w:val="24"/>
              </w:rPr>
              <w:t>Отчетные документы</w:t>
            </w:r>
          </w:p>
        </w:tc>
      </w:tr>
      <w:tr w:rsidR="00CD3A2A" w:rsidRPr="00CD3A2A" w:rsidTr="003F6758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Транспортные услуги - при оформлении электронных билетов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1. Распечатка маршрут/квитанции (купона) электронного билета на бумажном носителе;</w:t>
            </w:r>
          </w:p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2. Посадочный талон</w:t>
            </w:r>
          </w:p>
        </w:tc>
      </w:tr>
      <w:tr w:rsidR="00CD3A2A" w:rsidRPr="00CD3A2A" w:rsidTr="003F6758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Приобретение товаров (работ, услуг) у продавца (подрядчика), который не обязан использовать ККТ и/или бланки строгой отчетности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Документ, содержащий:</w:t>
            </w:r>
          </w:p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- информацию о номенклатуре и стоимости приобретенных товаров (работ услуг);</w:t>
            </w:r>
          </w:p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- дате операции;</w:t>
            </w:r>
          </w:p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- данные, позволяющие однозначно идентифицировать контрагента;</w:t>
            </w:r>
          </w:p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- иные обязательные реквизиты</w:t>
            </w:r>
          </w:p>
        </w:tc>
      </w:tr>
      <w:tr w:rsidR="00CD3A2A" w:rsidRPr="00CD3A2A" w:rsidTr="003F6758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Суточные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_________________________</w:t>
            </w:r>
          </w:p>
        </w:tc>
      </w:tr>
      <w:tr w:rsidR="00CD3A2A" w:rsidRPr="00CD3A2A" w:rsidTr="003F6758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Оплата через подотчетное лицо платежей в бюджет (например, госпошлины)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Документ, подтверждающий оплату</w:t>
            </w:r>
          </w:p>
        </w:tc>
      </w:tr>
      <w:tr w:rsidR="00CD3A2A" w:rsidRPr="00CD3A2A" w:rsidTr="003F6758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Выплата денежных средств через подотчетное лицо - раздатчика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Ведомость с индивидуальными данными всех получателей и их подписями</w:t>
            </w:r>
          </w:p>
        </w:tc>
      </w:tr>
      <w:tr w:rsidR="00CD3A2A" w:rsidRPr="00CD3A2A" w:rsidTr="003F6758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Использование денежных документов - почтовых марок, маркированных конвертов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Реестры по использованию почтовых марок и маркированных конвертов, содержащие информацию об исходящих номерах документов по журналу регистрации исходящей корреспонденции, даты отправления</w:t>
            </w:r>
          </w:p>
        </w:tc>
      </w:tr>
      <w:tr w:rsidR="00CD3A2A" w:rsidRPr="00CD3A2A" w:rsidTr="003F6758">
        <w:trPr>
          <w:tblCellSpacing w:w="15" w:type="dxa"/>
        </w:trPr>
        <w:tc>
          <w:tcPr>
            <w:tcW w:w="1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Использование денежных документов при оплате услуг сотовой связи, доступа к сети Интернет - карт оплаты</w:t>
            </w:r>
          </w:p>
        </w:tc>
        <w:tc>
          <w:tcPr>
            <w:tcW w:w="1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D3A2A" w:rsidRPr="00CD3A2A" w:rsidRDefault="00CD3A2A" w:rsidP="00CD3A2A">
            <w:pPr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CD3A2A">
              <w:rPr>
                <w:color w:val="000000"/>
                <w:sz w:val="24"/>
                <w:szCs w:val="24"/>
              </w:rPr>
              <w:t>Выписки из клиентских счетов</w:t>
            </w:r>
          </w:p>
        </w:tc>
      </w:tr>
    </w:tbl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lastRenderedPageBreak/>
        <w:t>3.5. Факт оплаты товаров (работ, услуг) наличными денежными средствами и (или) с использованием платежных карт должен подтверждаться на основании представляемых подотчетными лицами чеков контрольно-кассовой техники.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При оплате ряда услуг в установленных действующим законодательством случаях факт осуществления расходов может подтверждаться документами, оформленными на бланках строгой отчетности (например, железнодорожными и авиабилетами, электронными билетами). К учету принимаются только бланки строгой отчетности, изготовленные типографским способом или сформированные с использованием специализированных автоматизированных систем.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В отдельных случаях, предусмотренных действующим законодательством, факт оплаты может подтверждаться на основании документов, оформленных без применения бланков строгой отчетности (товарных чеков, квитанций и т.п.).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 xml:space="preserve">3.6. Факт получения конкретного имущества, оказания (выполнения) определенных услуг (работ) помимо перечисленных выше документов может подтверждается иными документами, прилагаемыми подотчетными лицами к авансовым отчетам. Такие документы должны содержать обязательные реквизиты, приведенные в </w:t>
      </w:r>
      <w:hyperlink r:id="rId13" w:anchor="/document/70103036/entry/9" w:tgtFrame="_blank" w:tooltip="Открыть документ в системе Гарант" w:history="1">
        <w:r w:rsidRPr="00CD3A2A">
          <w:rPr>
            <w:color w:val="000000"/>
            <w:sz w:val="24"/>
            <w:szCs w:val="24"/>
          </w:rPr>
          <w:t>ст. 9</w:t>
        </w:r>
      </w:hyperlink>
      <w:r w:rsidRPr="00CD3A2A">
        <w:rPr>
          <w:sz w:val="24"/>
          <w:szCs w:val="24"/>
        </w:rPr>
        <w:t xml:space="preserve"> Федерального закона от 06.12.2011 N 402-ФЗ "О бухгалтерском учете", а в установленных действующим законодательством случаях должны быть оформлены по унифицированным формам.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3.7. Особенности осуществления административно-хозяйственных расходов: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3.7.1. Сотрудник имеет право расходовать полученные под отчет денежные средства только на те цели, которые указаны в смете.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3.7.2. Отчетные документы по административно-хозяйственным расходам должны быть датированы не ранее даты получения аванса на соответствующие цели. На товарных чеках (иных документах, прилагаемых к отчету) обязательно должен быть указан адрес торговой точки (магазина), в которой производилась закупка (расходовались денежные средства). Товарные чеки (иные документы, прилагаемые к отчету) должны быть заполнены без помарок, подчисток, исправлений, чернилами одного цвета.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  <w:r w:rsidRPr="00CD3A2A">
        <w:rPr>
          <w:sz w:val="24"/>
          <w:szCs w:val="24"/>
        </w:rPr>
        <w:t>3.7.3. При наличии в отчетных документах нарушений перечисленных выше требований авансовый отчет представляется лично руководителю с письменным объяснением причин нарушений для принятия окончательного решения об оплате (отказе в оплате).</w:t>
      </w: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</w:p>
    <w:p w:rsidR="00CD3A2A" w:rsidRPr="00CD3A2A" w:rsidRDefault="00CD3A2A" w:rsidP="00CD3A2A">
      <w:pPr>
        <w:spacing w:before="100" w:beforeAutospacing="1" w:after="100" w:afterAutospacing="1"/>
        <w:jc w:val="both"/>
        <w:rPr>
          <w:sz w:val="24"/>
          <w:szCs w:val="24"/>
        </w:rPr>
      </w:pPr>
    </w:p>
    <w:p w:rsidR="00CE7F4A" w:rsidRPr="00CD3A2A" w:rsidRDefault="00CE7F4A" w:rsidP="00CE7F4A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</w:p>
    <w:p w:rsidR="00905170" w:rsidRPr="00CD3A2A" w:rsidRDefault="00905170" w:rsidP="00CE7F4A">
      <w:pPr>
        <w:pStyle w:val="1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</w:pPr>
    </w:p>
    <w:p w:rsidR="00CE7F4A" w:rsidRPr="00CD3A2A" w:rsidRDefault="00CE7F4A">
      <w:pPr>
        <w:pStyle w:val="1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</w:pPr>
    </w:p>
    <w:sectPr w:rsidR="00CE7F4A" w:rsidRPr="00CD3A2A" w:rsidSect="00A3552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3EEE"/>
    <w:multiLevelType w:val="hybridMultilevel"/>
    <w:tmpl w:val="09AE984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1245F25"/>
    <w:multiLevelType w:val="hybridMultilevel"/>
    <w:tmpl w:val="D8328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B2623A"/>
    <w:multiLevelType w:val="hybridMultilevel"/>
    <w:tmpl w:val="F9A6D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C6182"/>
    <w:multiLevelType w:val="hybridMultilevel"/>
    <w:tmpl w:val="0BC01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B35FDE"/>
    <w:multiLevelType w:val="hybridMultilevel"/>
    <w:tmpl w:val="E61C4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782767"/>
    <w:multiLevelType w:val="hybridMultilevel"/>
    <w:tmpl w:val="994C8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7858F4"/>
    <w:multiLevelType w:val="hybridMultilevel"/>
    <w:tmpl w:val="AAA4C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874CD5"/>
    <w:multiLevelType w:val="hybridMultilevel"/>
    <w:tmpl w:val="875A1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0C1C16"/>
    <w:multiLevelType w:val="hybridMultilevel"/>
    <w:tmpl w:val="81701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965916"/>
    <w:multiLevelType w:val="hybridMultilevel"/>
    <w:tmpl w:val="DA626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B81FB7"/>
    <w:multiLevelType w:val="hybridMultilevel"/>
    <w:tmpl w:val="E83A8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BB0A38"/>
    <w:multiLevelType w:val="hybridMultilevel"/>
    <w:tmpl w:val="5EAE9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480838"/>
    <w:multiLevelType w:val="hybridMultilevel"/>
    <w:tmpl w:val="D3B44F0E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FE33AA"/>
    <w:multiLevelType w:val="hybridMultilevel"/>
    <w:tmpl w:val="E3420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A96563"/>
    <w:multiLevelType w:val="hybridMultilevel"/>
    <w:tmpl w:val="96943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E010C9"/>
    <w:multiLevelType w:val="hybridMultilevel"/>
    <w:tmpl w:val="2CAAD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88F6523"/>
    <w:multiLevelType w:val="hybridMultilevel"/>
    <w:tmpl w:val="4EA6C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A40F2A"/>
    <w:multiLevelType w:val="hybridMultilevel"/>
    <w:tmpl w:val="DAB02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9A69E8"/>
    <w:multiLevelType w:val="hybridMultilevel"/>
    <w:tmpl w:val="6C767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FD71FEB"/>
    <w:multiLevelType w:val="hybridMultilevel"/>
    <w:tmpl w:val="4AEA6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AE5AEB"/>
    <w:multiLevelType w:val="hybridMultilevel"/>
    <w:tmpl w:val="8A5A4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B36102"/>
    <w:multiLevelType w:val="hybridMultilevel"/>
    <w:tmpl w:val="8A4CF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45048FD"/>
    <w:multiLevelType w:val="hybridMultilevel"/>
    <w:tmpl w:val="B2B44772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23" w15:restartNumberingAfterBreak="0">
    <w:nsid w:val="25FB4732"/>
    <w:multiLevelType w:val="hybridMultilevel"/>
    <w:tmpl w:val="48789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6344683"/>
    <w:multiLevelType w:val="hybridMultilevel"/>
    <w:tmpl w:val="C7323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8271DE8"/>
    <w:multiLevelType w:val="hybridMultilevel"/>
    <w:tmpl w:val="E65CF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A8D2C4C"/>
    <w:multiLevelType w:val="hybridMultilevel"/>
    <w:tmpl w:val="F4E6C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ABB714E"/>
    <w:multiLevelType w:val="hybridMultilevel"/>
    <w:tmpl w:val="12EC5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C450D61"/>
    <w:multiLevelType w:val="hybridMultilevel"/>
    <w:tmpl w:val="F9782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C9B6A7E"/>
    <w:multiLevelType w:val="hybridMultilevel"/>
    <w:tmpl w:val="802E0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E3733B0"/>
    <w:multiLevelType w:val="hybridMultilevel"/>
    <w:tmpl w:val="55E49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0805374"/>
    <w:multiLevelType w:val="hybridMultilevel"/>
    <w:tmpl w:val="5A9CA5B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9676C1"/>
    <w:multiLevelType w:val="hybridMultilevel"/>
    <w:tmpl w:val="9BB4C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33658D6"/>
    <w:multiLevelType w:val="hybridMultilevel"/>
    <w:tmpl w:val="83F4C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88D3AEB"/>
    <w:multiLevelType w:val="hybridMultilevel"/>
    <w:tmpl w:val="ADE4A580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A75497A"/>
    <w:multiLevelType w:val="hybridMultilevel"/>
    <w:tmpl w:val="95EC0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A8708C5"/>
    <w:multiLevelType w:val="hybridMultilevel"/>
    <w:tmpl w:val="E4D43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D400BE5"/>
    <w:multiLevelType w:val="hybridMultilevel"/>
    <w:tmpl w:val="1C88E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DCC049E"/>
    <w:multiLevelType w:val="hybridMultilevel"/>
    <w:tmpl w:val="7AF23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F21277D"/>
    <w:multiLevelType w:val="hybridMultilevel"/>
    <w:tmpl w:val="35684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3CD5411"/>
    <w:multiLevelType w:val="hybridMultilevel"/>
    <w:tmpl w:val="A0543CB6"/>
    <w:lvl w:ilvl="0" w:tplc="04190001">
      <w:start w:val="1"/>
      <w:numFmt w:val="bullet"/>
      <w:lvlText w:val=""/>
      <w:lvlJc w:val="left"/>
      <w:pPr>
        <w:ind w:left="12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41" w15:restartNumberingAfterBreak="0">
    <w:nsid w:val="46903743"/>
    <w:multiLevelType w:val="hybridMultilevel"/>
    <w:tmpl w:val="8724E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89674B3"/>
    <w:multiLevelType w:val="hybridMultilevel"/>
    <w:tmpl w:val="8234A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9047536"/>
    <w:multiLevelType w:val="hybridMultilevel"/>
    <w:tmpl w:val="34BEB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A68491F"/>
    <w:multiLevelType w:val="hybridMultilevel"/>
    <w:tmpl w:val="EE42E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0D12ECA"/>
    <w:multiLevelType w:val="hybridMultilevel"/>
    <w:tmpl w:val="5C349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29744F4"/>
    <w:multiLevelType w:val="hybridMultilevel"/>
    <w:tmpl w:val="2BE8E144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4005326"/>
    <w:multiLevelType w:val="hybridMultilevel"/>
    <w:tmpl w:val="21DE9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C953B7"/>
    <w:multiLevelType w:val="hybridMultilevel"/>
    <w:tmpl w:val="6D082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8D93F62"/>
    <w:multiLevelType w:val="hybridMultilevel"/>
    <w:tmpl w:val="90463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9695C56"/>
    <w:multiLevelType w:val="hybridMultilevel"/>
    <w:tmpl w:val="3C0AB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C0E5170"/>
    <w:multiLevelType w:val="hybridMultilevel"/>
    <w:tmpl w:val="65282468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D4449C2"/>
    <w:multiLevelType w:val="hybridMultilevel"/>
    <w:tmpl w:val="BD726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E373101"/>
    <w:multiLevelType w:val="hybridMultilevel"/>
    <w:tmpl w:val="6D4C5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EA94107"/>
    <w:multiLevelType w:val="hybridMultilevel"/>
    <w:tmpl w:val="CB226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FB73632"/>
    <w:multiLevelType w:val="hybridMultilevel"/>
    <w:tmpl w:val="C1A09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0EC11E3"/>
    <w:multiLevelType w:val="hybridMultilevel"/>
    <w:tmpl w:val="DFBCB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381141C"/>
    <w:multiLevelType w:val="hybridMultilevel"/>
    <w:tmpl w:val="AC5E3D5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A981BD5"/>
    <w:multiLevelType w:val="hybridMultilevel"/>
    <w:tmpl w:val="9D00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AC83E99"/>
    <w:multiLevelType w:val="hybridMultilevel"/>
    <w:tmpl w:val="A6C0C18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B556644"/>
    <w:multiLevelType w:val="hybridMultilevel"/>
    <w:tmpl w:val="2BDE3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D511DB0"/>
    <w:multiLevelType w:val="hybridMultilevel"/>
    <w:tmpl w:val="E5940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E86645E"/>
    <w:multiLevelType w:val="hybridMultilevel"/>
    <w:tmpl w:val="1158C8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6E9A6BE3"/>
    <w:multiLevelType w:val="hybridMultilevel"/>
    <w:tmpl w:val="68CE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F34663"/>
    <w:multiLevelType w:val="hybridMultilevel"/>
    <w:tmpl w:val="F2868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2795E15"/>
    <w:multiLevelType w:val="hybridMultilevel"/>
    <w:tmpl w:val="4720F824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66" w15:restartNumberingAfterBreak="0">
    <w:nsid w:val="72DD61D5"/>
    <w:multiLevelType w:val="hybridMultilevel"/>
    <w:tmpl w:val="C98A6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68F2B31"/>
    <w:multiLevelType w:val="hybridMultilevel"/>
    <w:tmpl w:val="61709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A4F6947"/>
    <w:multiLevelType w:val="hybridMultilevel"/>
    <w:tmpl w:val="4080F2BC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A666BC6"/>
    <w:multiLevelType w:val="hybridMultilevel"/>
    <w:tmpl w:val="92926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B8A299C"/>
    <w:multiLevelType w:val="hybridMultilevel"/>
    <w:tmpl w:val="F0D4A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C366A6A"/>
    <w:multiLevelType w:val="hybridMultilevel"/>
    <w:tmpl w:val="581EE1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E567158"/>
    <w:multiLevelType w:val="hybridMultilevel"/>
    <w:tmpl w:val="02967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F913509"/>
    <w:multiLevelType w:val="hybridMultilevel"/>
    <w:tmpl w:val="E1C83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137248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6715612">
    <w:abstractNumId w:val="7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391209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741265">
    <w:abstractNumId w:val="6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7006941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386480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0135727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4976411">
    <w:abstractNumId w:val="5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6655454">
    <w:abstractNumId w:val="43"/>
  </w:num>
  <w:num w:numId="10" w16cid:durableId="598638327">
    <w:abstractNumId w:val="5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4002301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20673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344249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764349">
    <w:abstractNumId w:val="4"/>
  </w:num>
  <w:num w:numId="15" w16cid:durableId="92453038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348095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754856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5089838">
    <w:abstractNumId w:val="6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09507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7633223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48873596">
    <w:abstractNumId w:val="7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8151539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50838042">
    <w:abstractNumId w:val="7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8868593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81062435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9696367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27112549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37487584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6565050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27519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4638768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3950190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8543175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243019">
    <w:abstractNumId w:val="6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886810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93434347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0974012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4340861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5475115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47327062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5185158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592742585">
    <w:abstractNumId w:val="6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19320772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0827304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98848364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828884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782724707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41107929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82096251">
    <w:abstractNumId w:val="6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01851514">
    <w:abstractNumId w:val="6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7305971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71676923">
    <w:abstractNumId w:val="24"/>
  </w:num>
  <w:num w:numId="53" w16cid:durableId="365254264">
    <w:abstractNumId w:val="23"/>
  </w:num>
  <w:num w:numId="54" w16cid:durableId="1861778427">
    <w:abstractNumId w:val="2"/>
  </w:num>
  <w:num w:numId="55" w16cid:durableId="847982042">
    <w:abstractNumId w:val="35"/>
  </w:num>
  <w:num w:numId="56" w16cid:durableId="997802946">
    <w:abstractNumId w:val="14"/>
  </w:num>
  <w:num w:numId="57" w16cid:durableId="801273071">
    <w:abstractNumId w:val="32"/>
  </w:num>
  <w:num w:numId="58" w16cid:durableId="935484645">
    <w:abstractNumId w:val="16"/>
  </w:num>
  <w:num w:numId="59" w16cid:durableId="2104759799">
    <w:abstractNumId w:val="17"/>
  </w:num>
  <w:num w:numId="60" w16cid:durableId="1235507677">
    <w:abstractNumId w:val="48"/>
  </w:num>
  <w:num w:numId="61" w16cid:durableId="710543157">
    <w:abstractNumId w:val="13"/>
  </w:num>
  <w:num w:numId="62" w16cid:durableId="860166547">
    <w:abstractNumId w:val="9"/>
  </w:num>
  <w:num w:numId="63" w16cid:durableId="1253466844">
    <w:abstractNumId w:val="19"/>
  </w:num>
  <w:num w:numId="64" w16cid:durableId="1739129738">
    <w:abstractNumId w:val="37"/>
  </w:num>
  <w:num w:numId="65" w16cid:durableId="2009669448">
    <w:abstractNumId w:val="38"/>
  </w:num>
  <w:num w:numId="66" w16cid:durableId="835458322">
    <w:abstractNumId w:val="31"/>
  </w:num>
  <w:num w:numId="67" w16cid:durableId="83497793">
    <w:abstractNumId w:val="72"/>
  </w:num>
  <w:num w:numId="68" w16cid:durableId="1442338075">
    <w:abstractNumId w:val="62"/>
  </w:num>
  <w:num w:numId="69" w16cid:durableId="818376652">
    <w:abstractNumId w:val="66"/>
  </w:num>
  <w:num w:numId="70" w16cid:durableId="1117026413">
    <w:abstractNumId w:val="47"/>
  </w:num>
  <w:num w:numId="71" w16cid:durableId="1176503821">
    <w:abstractNumId w:val="65"/>
  </w:num>
  <w:num w:numId="72" w16cid:durableId="1197620321">
    <w:abstractNumId w:val="22"/>
  </w:num>
  <w:num w:numId="73" w16cid:durableId="597062741">
    <w:abstractNumId w:val="40"/>
  </w:num>
  <w:num w:numId="74" w16cid:durableId="1376001904">
    <w:abstractNumId w:val="0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6B"/>
    <w:rsid w:val="00047F38"/>
    <w:rsid w:val="000839CD"/>
    <w:rsid w:val="00156204"/>
    <w:rsid w:val="00190EE3"/>
    <w:rsid w:val="001A4917"/>
    <w:rsid w:val="002771C6"/>
    <w:rsid w:val="002C1487"/>
    <w:rsid w:val="002F4F54"/>
    <w:rsid w:val="0031057B"/>
    <w:rsid w:val="00336D02"/>
    <w:rsid w:val="00341AA5"/>
    <w:rsid w:val="0046608F"/>
    <w:rsid w:val="004F3050"/>
    <w:rsid w:val="00502ADC"/>
    <w:rsid w:val="005942B7"/>
    <w:rsid w:val="005D249D"/>
    <w:rsid w:val="005F3F8C"/>
    <w:rsid w:val="007100B0"/>
    <w:rsid w:val="0071057C"/>
    <w:rsid w:val="00792202"/>
    <w:rsid w:val="007E0093"/>
    <w:rsid w:val="00810E8B"/>
    <w:rsid w:val="00822D6D"/>
    <w:rsid w:val="00875254"/>
    <w:rsid w:val="008C5276"/>
    <w:rsid w:val="00905170"/>
    <w:rsid w:val="009B186F"/>
    <w:rsid w:val="00A3552A"/>
    <w:rsid w:val="00A46AE6"/>
    <w:rsid w:val="00A9774F"/>
    <w:rsid w:val="00AD2181"/>
    <w:rsid w:val="00AF4E70"/>
    <w:rsid w:val="00AF5424"/>
    <w:rsid w:val="00B173B6"/>
    <w:rsid w:val="00B55C5C"/>
    <w:rsid w:val="00C04B7A"/>
    <w:rsid w:val="00C70099"/>
    <w:rsid w:val="00C86519"/>
    <w:rsid w:val="00CD3A2A"/>
    <w:rsid w:val="00CE7F4A"/>
    <w:rsid w:val="00D27DE2"/>
    <w:rsid w:val="00D7188F"/>
    <w:rsid w:val="00DA526B"/>
    <w:rsid w:val="00E03002"/>
    <w:rsid w:val="00E7102F"/>
    <w:rsid w:val="00EB106D"/>
    <w:rsid w:val="00ED79CA"/>
    <w:rsid w:val="00FB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334DF"/>
  <w15:chartTrackingRefBased/>
  <w15:docId w15:val="{D2970A70-E5F7-4D99-A183-A6F5AF980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2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05170"/>
    <w:pPr>
      <w:spacing w:before="100" w:beforeAutospacing="1" w:after="100" w:afterAutospacing="1"/>
      <w:jc w:val="center"/>
      <w:outlineLvl w:val="0"/>
    </w:pPr>
    <w:rPr>
      <w:rFonts w:ascii="Arial" w:hAnsi="Arial" w:cs="Arial"/>
      <w:b/>
      <w:bCs/>
      <w:color w:val="000000"/>
      <w:kern w:val="3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0093"/>
    <w:pPr>
      <w:pBdr>
        <w:bottom w:val="single" w:sz="4" w:space="1" w:color="823B0B" w:themeColor="accent2" w:themeShade="7F"/>
      </w:pBdr>
      <w:spacing w:before="400" w:after="200" w:line="252" w:lineRule="auto"/>
      <w:jc w:val="center"/>
      <w:outlineLvl w:val="1"/>
    </w:pPr>
    <w:rPr>
      <w:rFonts w:asciiTheme="majorHAnsi" w:eastAsiaTheme="majorEastAsia" w:hAnsiTheme="majorHAnsi" w:cstheme="majorBidi"/>
      <w:caps/>
      <w:color w:val="833C0B" w:themeColor="accent2" w:themeShade="80"/>
      <w:spacing w:val="15"/>
      <w:sz w:val="24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A52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774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774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0093"/>
    <w:rPr>
      <w:rFonts w:asciiTheme="majorHAnsi" w:eastAsiaTheme="majorEastAsia" w:hAnsiTheme="majorHAnsi" w:cstheme="majorBidi"/>
      <w:caps/>
      <w:color w:val="833C0B" w:themeColor="accent2" w:themeShade="80"/>
      <w:spacing w:val="15"/>
      <w:sz w:val="24"/>
      <w:szCs w:val="24"/>
      <w:lang w:val="en-US" w:bidi="en-US"/>
    </w:rPr>
  </w:style>
  <w:style w:type="character" w:styleId="a5">
    <w:name w:val="Hyperlink"/>
    <w:basedOn w:val="a0"/>
    <w:uiPriority w:val="99"/>
    <w:semiHidden/>
    <w:unhideWhenUsed/>
    <w:rsid w:val="007E0093"/>
    <w:rPr>
      <w:strike w:val="0"/>
      <w:dstrike w:val="0"/>
      <w:color w:val="000000"/>
      <w:u w:val="none"/>
      <w:effect w:val="none"/>
    </w:rPr>
  </w:style>
  <w:style w:type="paragraph" w:styleId="a6">
    <w:name w:val="Normal (Web)"/>
    <w:basedOn w:val="a"/>
    <w:uiPriority w:val="99"/>
    <w:unhideWhenUsed/>
    <w:rsid w:val="007E0093"/>
    <w:pPr>
      <w:spacing w:before="100" w:beforeAutospacing="1" w:after="100" w:afterAutospacing="1" w:line="252" w:lineRule="auto"/>
      <w:jc w:val="both"/>
    </w:pPr>
    <w:rPr>
      <w:rFonts w:ascii="Arial" w:eastAsiaTheme="majorEastAsia" w:hAnsi="Arial" w:cs="Arial"/>
      <w:sz w:val="22"/>
      <w:szCs w:val="22"/>
      <w:lang w:val="en-US" w:eastAsia="en-US" w:bidi="en-US"/>
    </w:rPr>
  </w:style>
  <w:style w:type="paragraph" w:styleId="a7">
    <w:name w:val="List Paragraph"/>
    <w:basedOn w:val="a"/>
    <w:uiPriority w:val="34"/>
    <w:qFormat/>
    <w:rsid w:val="007E0093"/>
    <w:pPr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customStyle="1" w:styleId="printable">
    <w:name w:val="printable"/>
    <w:basedOn w:val="a0"/>
    <w:rsid w:val="007E0093"/>
  </w:style>
  <w:style w:type="paragraph" w:customStyle="1" w:styleId="copyright-info">
    <w:name w:val="copyright-info"/>
    <w:basedOn w:val="a"/>
    <w:rsid w:val="007E0093"/>
    <w:pPr>
      <w:spacing w:before="100" w:beforeAutospacing="1" w:after="100" w:afterAutospacing="1" w:line="252" w:lineRule="auto"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customStyle="1" w:styleId="sfwc">
    <w:name w:val="sfwc"/>
    <w:basedOn w:val="a0"/>
    <w:rsid w:val="007E0093"/>
  </w:style>
  <w:style w:type="character" w:styleId="a8">
    <w:name w:val="Strong"/>
    <w:uiPriority w:val="22"/>
    <w:qFormat/>
    <w:rsid w:val="007E0093"/>
    <w:rPr>
      <w:b/>
      <w:bCs/>
      <w:color w:val="C45911" w:themeColor="accent2" w:themeShade="BF"/>
      <w:spacing w:val="5"/>
    </w:rPr>
  </w:style>
  <w:style w:type="paragraph" w:customStyle="1" w:styleId="formattext">
    <w:name w:val="formattext"/>
    <w:basedOn w:val="a"/>
    <w:rsid w:val="007E0093"/>
    <w:pPr>
      <w:spacing w:before="100" w:beforeAutospacing="1" w:after="100" w:afterAutospacing="1"/>
    </w:pPr>
    <w:rPr>
      <w:sz w:val="24"/>
      <w:szCs w:val="24"/>
    </w:rPr>
  </w:style>
  <w:style w:type="character" w:customStyle="1" w:styleId="fill">
    <w:name w:val="fill"/>
    <w:basedOn w:val="a0"/>
    <w:rsid w:val="007E0093"/>
  </w:style>
  <w:style w:type="paragraph" w:customStyle="1" w:styleId="21">
    <w:name w:val="Стиль2"/>
    <w:basedOn w:val="a"/>
    <w:link w:val="22"/>
    <w:qFormat/>
    <w:rsid w:val="007E0093"/>
    <w:pPr>
      <w:autoSpaceDE w:val="0"/>
      <w:autoSpaceDN w:val="0"/>
      <w:adjustRightInd w:val="0"/>
      <w:spacing w:line="276" w:lineRule="auto"/>
      <w:ind w:firstLine="540"/>
      <w:jc w:val="both"/>
    </w:pPr>
    <w:rPr>
      <w:rFonts w:ascii="Cambria" w:hAnsi="Cambria"/>
      <w:sz w:val="24"/>
      <w:szCs w:val="24"/>
    </w:rPr>
  </w:style>
  <w:style w:type="character" w:customStyle="1" w:styleId="22">
    <w:name w:val="Стиль2 Знак"/>
    <w:link w:val="21"/>
    <w:rsid w:val="007E0093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05170"/>
    <w:rPr>
      <w:rFonts w:ascii="Arial" w:eastAsia="Times New Roman" w:hAnsi="Arial" w:cs="Arial"/>
      <w:b/>
      <w:bCs/>
      <w:color w:val="000000"/>
      <w:kern w:val="36"/>
      <w:sz w:val="40"/>
      <w:szCs w:val="40"/>
      <w:lang w:eastAsia="ru-RU"/>
    </w:rPr>
  </w:style>
  <w:style w:type="character" w:styleId="a9">
    <w:name w:val="FollowedHyperlink"/>
    <w:basedOn w:val="a0"/>
    <w:uiPriority w:val="99"/>
    <w:semiHidden/>
    <w:unhideWhenUsed/>
    <w:rsid w:val="00905170"/>
    <w:rPr>
      <w:color w:val="954F72" w:themeColor="followedHyperlink"/>
      <w:u w:val="single"/>
    </w:rPr>
  </w:style>
  <w:style w:type="character" w:customStyle="1" w:styleId="enumerated">
    <w:name w:val="enumerated"/>
    <w:basedOn w:val="a0"/>
    <w:rsid w:val="00905170"/>
  </w:style>
  <w:style w:type="paragraph" w:styleId="HTML">
    <w:name w:val="HTML Preformatted"/>
    <w:basedOn w:val="a"/>
    <w:link w:val="HTML0"/>
    <w:uiPriority w:val="99"/>
    <w:semiHidden/>
    <w:unhideWhenUsed/>
    <w:rsid w:val="009051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5170"/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C86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Цветовое выделение"/>
    <w:uiPriority w:val="99"/>
    <w:rsid w:val="00D7188F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7188F"/>
    <w:rPr>
      <w:b/>
      <w:bCs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D7188F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D7188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13" Type="http://schemas.openxmlformats.org/officeDocument/2006/relationships/hyperlink" Target="http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" TargetMode="External"/><Relationship Id="rId12" Type="http://schemas.openxmlformats.org/officeDocument/2006/relationships/hyperlink" Target="http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" TargetMode="External"/><Relationship Id="rId11" Type="http://schemas.openxmlformats.org/officeDocument/2006/relationships/hyperlink" Target="http://internet.garant.ru/" TargetMode="External"/><Relationship Id="rId5" Type="http://schemas.openxmlformats.org/officeDocument/2006/relationships/hyperlink" Target="http://internet.garan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5</Pages>
  <Words>1860</Words>
  <Characters>10606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Максимум Максимум</dc:creator>
  <cp:keywords/>
  <dc:description/>
  <cp:lastModifiedBy>Максимум Максимум</cp:lastModifiedBy>
  <cp:revision>29</cp:revision>
  <cp:lastPrinted>2023-04-19T13:45:00Z</cp:lastPrinted>
  <dcterms:created xsi:type="dcterms:W3CDTF">2020-01-23T11:35:00Z</dcterms:created>
  <dcterms:modified xsi:type="dcterms:W3CDTF">2023-04-19T13:49:00Z</dcterms:modified>
</cp:coreProperties>
</file>