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41AA5" w:rsidRPr="00D7188F" w:rsidRDefault="00341AA5" w:rsidP="00341AA5">
      <w:pPr>
        <w:widowControl w:val="0"/>
        <w:autoSpaceDE w:val="0"/>
        <w:autoSpaceDN w:val="0"/>
        <w:adjustRightInd w:val="0"/>
        <w:ind w:left="3969"/>
        <w:jc w:val="right"/>
        <w:rPr>
          <w:bCs/>
          <w:sz w:val="24"/>
          <w:szCs w:val="24"/>
        </w:rPr>
      </w:pPr>
      <w:r w:rsidRPr="00D7188F">
        <w:rPr>
          <w:bCs/>
          <w:sz w:val="24"/>
          <w:szCs w:val="24"/>
        </w:rPr>
        <w:t xml:space="preserve">Приложение </w:t>
      </w:r>
      <w:r w:rsidR="00C86519" w:rsidRPr="00D7188F">
        <w:rPr>
          <w:bCs/>
          <w:sz w:val="24"/>
          <w:szCs w:val="24"/>
        </w:rPr>
        <w:t xml:space="preserve">№ </w:t>
      </w:r>
      <w:r w:rsidR="00CE7F4A">
        <w:rPr>
          <w:bCs/>
          <w:sz w:val="24"/>
          <w:szCs w:val="24"/>
        </w:rPr>
        <w:t>6</w:t>
      </w:r>
    </w:p>
    <w:p w:rsidR="00341AA5" w:rsidRPr="00D7188F" w:rsidRDefault="007E0093" w:rsidP="00341AA5">
      <w:pPr>
        <w:widowControl w:val="0"/>
        <w:autoSpaceDE w:val="0"/>
        <w:autoSpaceDN w:val="0"/>
        <w:adjustRightInd w:val="0"/>
        <w:ind w:left="3969"/>
        <w:jc w:val="both"/>
        <w:rPr>
          <w:bCs/>
          <w:sz w:val="24"/>
          <w:szCs w:val="24"/>
        </w:rPr>
      </w:pPr>
      <w:r w:rsidRPr="00D7188F">
        <w:rPr>
          <w:bCs/>
          <w:sz w:val="24"/>
          <w:szCs w:val="24"/>
        </w:rPr>
        <w:t xml:space="preserve">                              </w:t>
      </w:r>
      <w:r w:rsidR="00C86519" w:rsidRPr="00D7188F">
        <w:rPr>
          <w:bCs/>
          <w:sz w:val="24"/>
          <w:szCs w:val="24"/>
        </w:rPr>
        <w:t xml:space="preserve">                                   </w:t>
      </w:r>
      <w:r w:rsidRPr="00D7188F">
        <w:rPr>
          <w:bCs/>
          <w:sz w:val="24"/>
          <w:szCs w:val="24"/>
        </w:rPr>
        <w:t xml:space="preserve"> к </w:t>
      </w:r>
      <w:r w:rsidR="00C86519" w:rsidRPr="00D7188F">
        <w:rPr>
          <w:bCs/>
          <w:sz w:val="24"/>
          <w:szCs w:val="24"/>
        </w:rPr>
        <w:t>учетной политике</w:t>
      </w:r>
    </w:p>
    <w:p w:rsidR="007100B0" w:rsidRPr="00D7188F" w:rsidRDefault="007100B0" w:rsidP="00341AA5">
      <w:pPr>
        <w:widowControl w:val="0"/>
        <w:autoSpaceDE w:val="0"/>
        <w:autoSpaceDN w:val="0"/>
        <w:adjustRightInd w:val="0"/>
        <w:ind w:left="3969"/>
        <w:jc w:val="both"/>
        <w:rPr>
          <w:bCs/>
          <w:sz w:val="24"/>
          <w:szCs w:val="24"/>
        </w:rPr>
      </w:pPr>
      <w:r w:rsidRPr="00D7188F">
        <w:rPr>
          <w:bCs/>
          <w:sz w:val="24"/>
          <w:szCs w:val="24"/>
        </w:rPr>
        <w:t xml:space="preserve">              утвержденной приказом от 25.12.2018 № 116-осн</w:t>
      </w:r>
    </w:p>
    <w:p w:rsidR="004F3050" w:rsidRPr="00D7188F" w:rsidRDefault="004F3050" w:rsidP="00341AA5">
      <w:pPr>
        <w:widowControl w:val="0"/>
        <w:autoSpaceDE w:val="0"/>
        <w:autoSpaceDN w:val="0"/>
        <w:adjustRightInd w:val="0"/>
        <w:ind w:left="3969"/>
        <w:jc w:val="both"/>
        <w:rPr>
          <w:bCs/>
          <w:sz w:val="24"/>
          <w:szCs w:val="24"/>
        </w:rPr>
      </w:pPr>
    </w:p>
    <w:p w:rsidR="007100B0" w:rsidRPr="00D7188F" w:rsidRDefault="007E0093" w:rsidP="00D7188F">
      <w:r w:rsidRPr="00D7188F">
        <w:rPr>
          <w:sz w:val="24"/>
          <w:szCs w:val="24"/>
          <w:lang w:eastAsia="en-US" w:bidi="en-US"/>
        </w:rPr>
        <w:t xml:space="preserve">               </w:t>
      </w:r>
    </w:p>
    <w:p w:rsidR="00CE7F4A" w:rsidRPr="00CE7F4A" w:rsidRDefault="00CE7F4A" w:rsidP="00CE7F4A">
      <w:pPr>
        <w:pStyle w:val="2"/>
        <w:pBdr>
          <w:bottom w:val="single" w:sz="4" w:space="0" w:color="823B0B" w:themeColor="accent2" w:themeShade="7F"/>
        </w:pBdr>
        <w:rPr>
          <w:rFonts w:ascii="Times New Roman" w:hAnsi="Times New Roman" w:cs="Times New Roman"/>
          <w:color w:val="auto"/>
          <w:lang w:val="ru-RU"/>
        </w:rPr>
      </w:pPr>
      <w:r w:rsidRPr="00CE7F4A">
        <w:rPr>
          <w:rFonts w:ascii="Times New Roman" w:hAnsi="Times New Roman" w:cs="Times New Roman"/>
          <w:color w:val="auto"/>
          <w:lang w:val="ru-RU"/>
        </w:rPr>
        <w:t>Порядок расчетов с подотчетными лицами</w:t>
      </w:r>
    </w:p>
    <w:p w:rsidR="00CE7F4A" w:rsidRPr="00CE7F4A" w:rsidRDefault="00CE7F4A" w:rsidP="00CE7F4A">
      <w:pPr>
        <w:pStyle w:val="2"/>
        <w:pBdr>
          <w:bottom w:val="none" w:sz="0" w:space="0" w:color="auto"/>
        </w:pBdr>
        <w:rPr>
          <w:rFonts w:ascii="Times New Roman" w:hAnsi="Times New Roman" w:cs="Times New Roman"/>
          <w:color w:val="auto"/>
          <w:lang w:val="ru-RU"/>
        </w:rPr>
      </w:pPr>
      <w:r w:rsidRPr="00CE7F4A">
        <w:rPr>
          <w:rStyle w:val="enumerated"/>
          <w:rFonts w:ascii="Times New Roman" w:hAnsi="Times New Roman" w:cs="Times New Roman"/>
          <w:color w:val="auto"/>
          <w:lang w:val="ru-RU"/>
        </w:rPr>
        <w:t>1.</w:t>
      </w:r>
      <w:r w:rsidRPr="00CE7F4A">
        <w:rPr>
          <w:rFonts w:ascii="Times New Roman" w:hAnsi="Times New Roman" w:cs="Times New Roman"/>
          <w:color w:val="auto"/>
          <w:lang w:val="ru-RU"/>
        </w:rPr>
        <w:t xml:space="preserve"> Общие положения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1.1.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Настоящее Положение о порядке расчетов с подотчетными лицами (далее — Положение) разработано в соответствии с: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hyperlink r:id="rId5" w:anchor="/document/12180849/entry/2000" w:tgtFrame="_blank" w:tooltip="Открыть документ в системе Гарант" w:history="1">
        <w:r w:rsidRPr="00CE7F4A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ru-RU"/>
          </w:rPr>
          <w:t>Инструкцией</w:t>
        </w:r>
      </w:hyperlink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по применению единого плана счетов бухгалтерского учета для государственных органов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учреждений, утвержденной </w:t>
      </w:r>
      <w:hyperlink r:id="rId6" w:anchor="/document/12180849/entry/0" w:tgtFrame="_blank" w:tooltip="Открыть документ в системе Гарант" w:history="1">
        <w:r w:rsidRPr="00CE7F4A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ru-RU"/>
          </w:rPr>
          <w:t>приказом</w:t>
        </w:r>
      </w:hyperlink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Минфина России от 01.12.2010 </w:t>
      </w:r>
      <w:r w:rsidRPr="00CE7F4A">
        <w:rPr>
          <w:rFonts w:ascii="Times New Roman" w:hAnsi="Times New Roman" w:cs="Times New Roman"/>
          <w:sz w:val="24"/>
          <w:szCs w:val="24"/>
        </w:rPr>
        <w:t>N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157н (далее - Инструкции </w:t>
      </w:r>
      <w:r w:rsidRPr="00CE7F4A">
        <w:rPr>
          <w:rFonts w:ascii="Times New Roman" w:hAnsi="Times New Roman" w:cs="Times New Roman"/>
          <w:sz w:val="24"/>
          <w:szCs w:val="24"/>
        </w:rPr>
        <w:t>N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157);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hyperlink r:id="rId7" w:anchor="/document/70951956/entry/0" w:tgtFrame="_blank" w:tooltip="Открыть документ в системе Гарант" w:history="1">
        <w:r w:rsidRPr="00CE7F4A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ru-RU"/>
          </w:rPr>
          <w:t>приказом</w:t>
        </w:r>
      </w:hyperlink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Минфина России от 30.03.2015 </w:t>
      </w:r>
      <w:r w:rsidRPr="00CE7F4A">
        <w:rPr>
          <w:rFonts w:ascii="Times New Roman" w:hAnsi="Times New Roman" w:cs="Times New Roman"/>
          <w:sz w:val="24"/>
          <w:szCs w:val="24"/>
        </w:rPr>
        <w:t>N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52н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 (далее - Приказ </w:t>
      </w:r>
      <w:r w:rsidRPr="00CE7F4A">
        <w:rPr>
          <w:rFonts w:ascii="Times New Roman" w:hAnsi="Times New Roman" w:cs="Times New Roman"/>
          <w:sz w:val="24"/>
          <w:szCs w:val="24"/>
        </w:rPr>
        <w:t>N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52н);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hyperlink r:id="rId8" w:anchor="/document/70664762/entry/0" w:tgtFrame="_blank" w:tooltip="Открыть документ в системе Гарант" w:history="1">
        <w:r w:rsidRPr="00CE7F4A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ru-RU"/>
          </w:rPr>
          <w:t>Указанием</w:t>
        </w:r>
      </w:hyperlink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Банка России от 11.03.2014 </w:t>
      </w:r>
      <w:r w:rsidRPr="00CE7F4A">
        <w:rPr>
          <w:rFonts w:ascii="Times New Roman" w:hAnsi="Times New Roman" w:cs="Times New Roman"/>
          <w:sz w:val="24"/>
          <w:szCs w:val="24"/>
        </w:rPr>
        <w:t>N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3210-У "О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предпринимательства";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hyperlink r:id="rId9" w:anchor="/document/70755696/entry/1000" w:tgtFrame="_blank" w:tooltip="Открыть документ в системе Гарант" w:history="1">
        <w:r w:rsidRPr="00CE7F4A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ru-RU"/>
          </w:rPr>
          <w:t>Правилами</w:t>
        </w:r>
      </w:hyperlink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, утвержденными </w:t>
      </w:r>
      <w:hyperlink r:id="rId10" w:anchor="/document/70755696/entry/0" w:tgtFrame="_blank" w:tooltip="Открыть документ в системе Гарант" w:history="1">
        <w:r w:rsidRPr="00CE7F4A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ru-RU"/>
          </w:rPr>
          <w:t>приказом</w:t>
        </w:r>
      </w:hyperlink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Федерального казначейства от 30.06.2014 </w:t>
      </w:r>
      <w:r w:rsidRPr="00CE7F4A">
        <w:rPr>
          <w:rFonts w:ascii="Times New Roman" w:hAnsi="Times New Roman" w:cs="Times New Roman"/>
          <w:sz w:val="24"/>
          <w:szCs w:val="24"/>
        </w:rPr>
        <w:t>N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10н.</w:t>
      </w:r>
    </w:p>
    <w:p w:rsidR="00CE7F4A" w:rsidRPr="00CE7F4A" w:rsidRDefault="00CE7F4A" w:rsidP="00CE7F4A">
      <w:pPr>
        <w:pStyle w:val="2"/>
        <w:rPr>
          <w:rFonts w:ascii="Times New Roman" w:hAnsi="Times New Roman" w:cs="Times New Roman"/>
          <w:color w:val="auto"/>
          <w:lang w:val="ru-RU"/>
        </w:rPr>
      </w:pPr>
      <w:r w:rsidRPr="00CE7F4A">
        <w:rPr>
          <w:rStyle w:val="enumerated"/>
          <w:rFonts w:ascii="Times New Roman" w:hAnsi="Times New Roman" w:cs="Times New Roman"/>
          <w:color w:val="auto"/>
          <w:lang w:val="ru-RU"/>
        </w:rPr>
        <w:t>2.</w:t>
      </w:r>
      <w:r w:rsidRPr="00CE7F4A">
        <w:rPr>
          <w:rFonts w:ascii="Times New Roman" w:hAnsi="Times New Roman" w:cs="Times New Roman"/>
          <w:color w:val="auto"/>
          <w:lang w:val="ru-RU"/>
        </w:rPr>
        <w:t xml:space="preserve"> Порядок выдачи денежных средств и денежных документов под отчет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2.1.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Денежные средства выдаются под отчет на расходы, связанные с приобретением товаров (работ, услуг), и командировочные расходы.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2.2.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Выдача под отчет денежных средств для приобретения товаров (работ, услуг) производится работникам, поименованным в Приказе лиц, имеющих право получать денежные средства под отчет на указанные цели.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Fonts w:ascii="Times New Roman" w:hAnsi="Times New Roman" w:cs="Times New Roman"/>
          <w:sz w:val="24"/>
          <w:szCs w:val="24"/>
          <w:lang w:val="ru-RU"/>
        </w:rPr>
        <w:t>Авансы для осуществления расходов в целях организации разовых мероприятий (семинаров, конференций и т.п.), порядок проведения которых определяется отдельным приказом (распоряжением) руководителя организации, выдаются сотрудникам, указанным в данном приказе (распоряжении).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2.3.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Авансы на командировочные расходы выдаются под отчет лицам, работающим в учреждении на основании трудовых договоров (сотрудникам учреждения), направленным в служебную командировку в соответствии с приказом руководителя.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lastRenderedPageBreak/>
        <w:t>2.4.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Не допускается выдача денежных средств под отчет физическим лицам, не являющимся сотрудниками организации. Выдача денежных средств таким физическим лицам допускается только на основании Распоряжения Главного распорядителя бюджетных средств.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2.5.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Не допускается передача выданных под отчет денежных средств (денежных документов) одним лицом другому.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2.6.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Денежные средства и денежные документы выдаются под отчет только по распоряжению руководителя учреждения и на основании заявления подотчетного лица (далее также - Заявление).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Fonts w:ascii="Times New Roman" w:hAnsi="Times New Roman" w:cs="Times New Roman"/>
          <w:sz w:val="24"/>
          <w:szCs w:val="24"/>
          <w:lang w:val="ru-RU"/>
        </w:rPr>
        <w:t>Выдача под отчет денежных средств осуществляется только при отсутствии задолженности по ранее выданным под отчет денежным средствам, по которым наступил срок предоставления Авансового отчета.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2.7.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Денежные документы могут быть выданы под отчет только при условии представления отчета об использовании ранее выданных денежных документов соответствующего вида. 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2.8.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Распоряжение руководителя о выдаче денежных средств (денежных документов) под отчет оформляется приказом.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2.9.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Заявление на получение денежных средств под отчет формируются в программе 1-С: Предприятие. 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2.10.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В Заявлении на получение денежных средств указываются конкретные направления расходов, которые планирует осуществить подотчетное лицо. Заявление без указания целей расходования денежных средств или с формальным указанием планируемых направлений расходов (например, "на </w:t>
      </w:r>
      <w:proofErr w:type="spellStart"/>
      <w:r w:rsidRPr="00CE7F4A">
        <w:rPr>
          <w:rFonts w:ascii="Times New Roman" w:hAnsi="Times New Roman" w:cs="Times New Roman"/>
          <w:sz w:val="24"/>
          <w:szCs w:val="24"/>
          <w:lang w:val="ru-RU"/>
        </w:rPr>
        <w:t>хозрасходы</w:t>
      </w:r>
      <w:proofErr w:type="spellEnd"/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", "на проведение праздничного мероприятия") считается неоформленным и не может являться основанием для выдачи денежных средств под отчет, так как не позволяет однозначно определить расходные коды </w:t>
      </w:r>
      <w:hyperlink r:id="rId11" w:anchor="/document/70408460/entry/4200" w:tgtFrame="_blank" w:tooltip="Открыть документ в системе Гарант" w:history="1">
        <w:r w:rsidRPr="00CE7F4A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ru-RU"/>
          </w:rPr>
          <w:t>бюджетной классификации</w:t>
        </w:r>
      </w:hyperlink>
      <w:r w:rsidRPr="00CE7F4A">
        <w:rPr>
          <w:rFonts w:ascii="Times New Roman" w:hAnsi="Times New Roman" w:cs="Times New Roman"/>
          <w:sz w:val="24"/>
          <w:szCs w:val="24"/>
          <w:lang w:val="ru-RU"/>
        </w:rPr>
        <w:t>. Размер подотчетной суммы, испрашиваемой сотрудником, определяется на основании предварительного расчета. Расчет производится подотчетным лицом исходя из расценок (тарифов, норм), действующих на день подачи Заявления.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Fonts w:ascii="Times New Roman" w:hAnsi="Times New Roman" w:cs="Times New Roman"/>
          <w:sz w:val="24"/>
          <w:szCs w:val="24"/>
          <w:lang w:val="ru-RU"/>
        </w:rPr>
        <w:t>Заявление на получение денежных средств под отчет оформляется с учетом следующих требований: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890"/>
        <w:gridCol w:w="5015"/>
      </w:tblGrid>
      <w:tr w:rsidR="00CE7F4A" w:rsidRPr="00CE7F4A" w:rsidTr="00CE7F4A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2"/>
              <w:rPr>
                <w:rFonts w:ascii="Times New Roman" w:hAnsi="Times New Roman" w:cs="Times New Roman"/>
                <w:color w:val="auto"/>
              </w:rPr>
            </w:pPr>
            <w:r w:rsidRPr="00CE7F4A">
              <w:rPr>
                <w:rFonts w:ascii="Times New Roman" w:hAnsi="Times New Roman" w:cs="Times New Roman"/>
                <w:color w:val="auto"/>
              </w:rPr>
              <w:t>Назначение аванса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2"/>
              <w:rPr>
                <w:rFonts w:ascii="Times New Roman" w:hAnsi="Times New Roman" w:cs="Times New Roman"/>
                <w:color w:val="auto"/>
              </w:rPr>
            </w:pPr>
            <w:r w:rsidRPr="00CE7F4A">
              <w:rPr>
                <w:rFonts w:ascii="Times New Roman" w:hAnsi="Times New Roman" w:cs="Times New Roman"/>
                <w:color w:val="auto"/>
              </w:rPr>
              <w:t>Требования к оформлению заявления</w:t>
            </w:r>
          </w:p>
        </w:tc>
      </w:tr>
      <w:tr w:rsidR="00CE7F4A" w:rsidRPr="00CE7F4A" w:rsidTr="00CE7F4A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>служебную</w:t>
            </w:r>
            <w:proofErr w:type="spellEnd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>командировку</w:t>
            </w:r>
            <w:proofErr w:type="spellEnd"/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Приводится ссылка на приказ о командировании, указывается место командирования и срок командировки</w:t>
            </w:r>
          </w:p>
        </w:tc>
      </w:tr>
      <w:tr w:rsidR="00CE7F4A" w:rsidRPr="00CE7F4A" w:rsidTr="00CE7F4A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закупку товарно-материальных ценностей (ТМЦ)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Указывается номенклатура, количество и цены товаров (согласно предварительным расчетам). Перечень должен позволить однозначно определить, планируется ли приобретение основных средств или материальных запасов, а </w:t>
            </w: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также классифицировать приобретаемые ТМЦ по кодам бюджетной классификации (в т.ч. кодам видов расходов)</w:t>
            </w:r>
          </w:p>
        </w:tc>
      </w:tr>
      <w:tr w:rsidR="00CE7F4A" w:rsidRPr="00CE7F4A" w:rsidTr="00CE7F4A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</w:t>
            </w:r>
            <w:proofErr w:type="spellEnd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>оплату</w:t>
            </w:r>
            <w:proofErr w:type="spellEnd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  <w:proofErr w:type="spellEnd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proofErr w:type="spellEnd"/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Приводится номенклатура (перечень) услуг (работ) и их стоимость (согласно предварительным расчетам). Приведенный перечень должен позволять однозначно классифицировать услуги, работы по кодам КОСГУ, по иным кодам бюджетной классификации (кодам видов расходов)</w:t>
            </w:r>
          </w:p>
        </w:tc>
      </w:tr>
      <w:tr w:rsidR="00CE7F4A" w:rsidRPr="00CE7F4A" w:rsidTr="00CE7F4A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Компенсация расходов сотрудника, самостоятельно произведенных им в интересах учреждения в обстоятельствах, исключающих предварительное получение аванса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Указываются соответствующие обстоятельства, а также перечень товаров (работ, услуг), фактически приобретенных (оплаченных) сотрудником</w:t>
            </w:r>
          </w:p>
        </w:tc>
      </w:tr>
      <w:tr w:rsidR="00CE7F4A" w:rsidRPr="00CE7F4A" w:rsidTr="00CE7F4A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Компенсация расходов сотрудника, понесенных им в интересах учреждения (кроме чрезвычайных обстоятельств)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Приводится перечень товаров (работ, услуг), фактически приобретенных (оплаченных) сотрудником.</w:t>
            </w:r>
          </w:p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Кроме того, в заявлении должна содержаться информация о том, почему сотрудник полагает, что произведенные им по собственной инициативе расходы будут полезны учреждению</w:t>
            </w:r>
          </w:p>
        </w:tc>
      </w:tr>
    </w:tbl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2.11.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Расчеты с подотчетными лицами осуществляются путем безналичного перечисления на банковскую карту.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2.12.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Срок, </w:t>
      </w:r>
      <w:proofErr w:type="gramStart"/>
      <w:r w:rsidRPr="00CE7F4A">
        <w:rPr>
          <w:rFonts w:ascii="Times New Roman" w:hAnsi="Times New Roman" w:cs="Times New Roman"/>
          <w:sz w:val="24"/>
          <w:szCs w:val="24"/>
          <w:lang w:val="ru-RU"/>
        </w:rPr>
        <w:t>на который согласно Заявлению</w:t>
      </w:r>
      <w:proofErr w:type="gramEnd"/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выдаются денежные средства не может превышать: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Fonts w:ascii="Times New Roman" w:hAnsi="Times New Roman" w:cs="Times New Roman"/>
          <w:sz w:val="24"/>
          <w:szCs w:val="24"/>
          <w:lang w:val="ru-RU"/>
        </w:rPr>
        <w:t>- сроку командировки (со дня выезда по день приезда</w:t>
      </w:r>
      <w:proofErr w:type="gramStart"/>
      <w:r w:rsidRPr="00CE7F4A">
        <w:rPr>
          <w:rFonts w:ascii="Times New Roman" w:hAnsi="Times New Roman" w:cs="Times New Roman"/>
          <w:sz w:val="24"/>
          <w:szCs w:val="24"/>
          <w:lang w:val="ru-RU"/>
        </w:rPr>
        <w:t>) .</w:t>
      </w:r>
      <w:proofErr w:type="gramEnd"/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2.13.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Сумма выдачи денежных средств под отчет на эти цели с применением расчетных (дебетовых) карт не может превышать </w:t>
      </w:r>
      <w:proofErr w:type="gramStart"/>
      <w:r w:rsidRPr="00CE7F4A">
        <w:rPr>
          <w:rFonts w:ascii="Times New Roman" w:hAnsi="Times New Roman" w:cs="Times New Roman"/>
          <w:sz w:val="24"/>
          <w:szCs w:val="24"/>
          <w:lang w:val="ru-RU"/>
        </w:rPr>
        <w:t>суммы</w:t>
      </w:r>
      <w:proofErr w:type="gramEnd"/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указанной в смете. </w:t>
      </w:r>
    </w:p>
    <w:p w:rsidR="00CE7F4A" w:rsidRPr="00CE7F4A" w:rsidRDefault="00CE7F4A" w:rsidP="00CE7F4A">
      <w:pPr>
        <w:pStyle w:val="2"/>
        <w:rPr>
          <w:rFonts w:ascii="Times New Roman" w:hAnsi="Times New Roman" w:cs="Times New Roman"/>
          <w:color w:val="auto"/>
          <w:lang w:val="ru-RU"/>
        </w:rPr>
      </w:pPr>
      <w:r w:rsidRPr="00CE7F4A">
        <w:rPr>
          <w:rStyle w:val="enumerated"/>
          <w:rFonts w:ascii="Times New Roman" w:hAnsi="Times New Roman" w:cs="Times New Roman"/>
          <w:color w:val="auto"/>
          <w:lang w:val="ru-RU"/>
        </w:rPr>
        <w:t>3.</w:t>
      </w:r>
      <w:r w:rsidRPr="00CE7F4A">
        <w:rPr>
          <w:rFonts w:ascii="Times New Roman" w:hAnsi="Times New Roman" w:cs="Times New Roman"/>
          <w:color w:val="auto"/>
          <w:lang w:val="ru-RU"/>
        </w:rPr>
        <w:t xml:space="preserve"> Порядок представления авансового отчета и подтверждения расходования (использования) денежных средств (денежных документов)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3.1.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Сотрудник обязан представить Авансовый отчет (</w:t>
      </w:r>
      <w:hyperlink r:id="rId12" w:anchor="/document/70951956/entry/2240" w:tgtFrame="_blank" w:tooltip="Открыть документ в системе Гарант" w:history="1">
        <w:r w:rsidRPr="00CE7F4A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ru-RU"/>
          </w:rPr>
          <w:t>ф. 0504505</w:t>
        </w:r>
      </w:hyperlink>
      <w:r w:rsidRPr="00CE7F4A">
        <w:rPr>
          <w:rFonts w:ascii="Times New Roman" w:hAnsi="Times New Roman" w:cs="Times New Roman"/>
          <w:sz w:val="24"/>
          <w:szCs w:val="24"/>
          <w:lang w:val="ru-RU"/>
        </w:rPr>
        <w:t>) не позднее: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Fonts w:ascii="Times New Roman" w:hAnsi="Times New Roman" w:cs="Times New Roman"/>
          <w:sz w:val="24"/>
          <w:szCs w:val="24"/>
          <w:lang w:val="ru-RU"/>
        </w:rPr>
        <w:t>- трех рабочих дней после дня истечения срока, на который выданы денежные средства (денежные документы) под отчет;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Fonts w:ascii="Times New Roman" w:hAnsi="Times New Roman" w:cs="Times New Roman"/>
          <w:sz w:val="24"/>
          <w:szCs w:val="24"/>
          <w:lang w:val="ru-RU"/>
        </w:rPr>
        <w:t>- дня выхода на работу.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Независимо от срока, на который выдан аванс, подотчетному лицу надлежит представить авансовый отчет и сдать неиспользованный остаток аванса при убытии в отпуск, командировку 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lastRenderedPageBreak/>
        <w:t>(за исключением тех случаев, когда аванс представляется на осуществление расходов в отпуске, командировке). В случае заболевания подотчетного лица представление авансового отчета и сдача неиспользованного остатка аванса осуществляется этим лицом в порядке, согласованном с руководителем организации.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 xml:space="preserve">3.2. 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>Если сотрудник не отчитался за полученные под отчет денежные средства в установленные сроки, сумма задолженности удерживается из доходов этого сотрудника в порядке, предусмотренном действующим законодательством.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3.3.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Не допускается расходование денежных средств, полученных под отчет, на цели, не предусмотренные утвержденным в установленном порядке Заявлением.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CE7F4A">
        <w:rPr>
          <w:rFonts w:ascii="Times New Roman" w:hAnsi="Times New Roman" w:cs="Times New Roman"/>
          <w:sz w:val="24"/>
          <w:szCs w:val="24"/>
          <w:lang w:val="ru-RU"/>
        </w:rPr>
        <w:t>Если согласно представленному авансовому отчету</w:t>
      </w:r>
      <w:proofErr w:type="gramEnd"/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такие расходы осуществлялись, по решению руководителя этот авансовый отчет может быть не принят к учету, а соответствующие денежные средства подлежат возврату. 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3.4.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Признание расходов, произведенных подотчетным лицом, возможно только на основании документов, подтверждающих: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Fonts w:ascii="Times New Roman" w:hAnsi="Times New Roman" w:cs="Times New Roman"/>
          <w:sz w:val="24"/>
          <w:szCs w:val="24"/>
          <w:lang w:val="ru-RU"/>
        </w:rPr>
        <w:t>- получение конкретного имущества, оказание (выполнение) определенных услуг (работ);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Fonts w:ascii="Times New Roman" w:hAnsi="Times New Roman" w:cs="Times New Roman"/>
          <w:sz w:val="24"/>
          <w:szCs w:val="24"/>
          <w:lang w:val="ru-RU"/>
        </w:rPr>
        <w:t>- факт совершения расходов;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Fonts w:ascii="Times New Roman" w:hAnsi="Times New Roman" w:cs="Times New Roman"/>
          <w:sz w:val="24"/>
          <w:szCs w:val="24"/>
          <w:lang w:val="ru-RU"/>
        </w:rPr>
        <w:t>- дату совершения расходов;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Fonts w:ascii="Times New Roman" w:hAnsi="Times New Roman" w:cs="Times New Roman"/>
          <w:sz w:val="24"/>
          <w:szCs w:val="24"/>
          <w:lang w:val="ru-RU"/>
        </w:rPr>
        <w:t>- сумму произведенных расходов.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Fonts w:ascii="Times New Roman" w:hAnsi="Times New Roman" w:cs="Times New Roman"/>
          <w:sz w:val="24"/>
          <w:szCs w:val="24"/>
          <w:lang w:val="ru-RU"/>
        </w:rPr>
        <w:t>Отчетными документами по отдельным видам расходов являются: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440"/>
        <w:gridCol w:w="5465"/>
      </w:tblGrid>
      <w:tr w:rsidR="00CE7F4A" w:rsidRPr="00CE7F4A" w:rsidTr="00CE7F4A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2"/>
              <w:rPr>
                <w:rFonts w:ascii="Times New Roman" w:hAnsi="Times New Roman" w:cs="Times New Roman"/>
                <w:color w:val="auto"/>
              </w:rPr>
            </w:pPr>
            <w:r w:rsidRPr="00CE7F4A">
              <w:rPr>
                <w:rFonts w:ascii="Times New Roman" w:hAnsi="Times New Roman" w:cs="Times New Roman"/>
                <w:color w:val="auto"/>
              </w:rPr>
              <w:t>Вид расходов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2"/>
              <w:rPr>
                <w:rFonts w:ascii="Times New Roman" w:hAnsi="Times New Roman" w:cs="Times New Roman"/>
                <w:color w:val="auto"/>
              </w:rPr>
            </w:pPr>
            <w:r w:rsidRPr="00CE7F4A">
              <w:rPr>
                <w:rFonts w:ascii="Times New Roman" w:hAnsi="Times New Roman" w:cs="Times New Roman"/>
                <w:color w:val="auto"/>
              </w:rPr>
              <w:t>Отчетные документы</w:t>
            </w:r>
          </w:p>
        </w:tc>
      </w:tr>
      <w:tr w:rsidR="00CE7F4A" w:rsidRPr="00CE7F4A" w:rsidTr="00CE7F4A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Транспортные услуги - при оформлении электронных билетов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Распечатка маршрут/квитанции (купона) электронного билета на бумажном носителе;</w:t>
            </w:r>
          </w:p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>Посадочный</w:t>
            </w:r>
            <w:proofErr w:type="spellEnd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>талон</w:t>
            </w:r>
            <w:proofErr w:type="spellEnd"/>
          </w:p>
        </w:tc>
      </w:tr>
      <w:tr w:rsidR="00CE7F4A" w:rsidRPr="00CE7F4A" w:rsidTr="00CE7F4A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Приобретение товаров (работ, услуг) у продавца (подрядчика), который не обязан использовать ККТ и/или бланки строгой отчетности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Документ, содержащий:</w:t>
            </w:r>
          </w:p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информацию о номенклатуре и стоимости приобретенных товаров (работ услуг);</w:t>
            </w:r>
          </w:p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дате операции;</w:t>
            </w:r>
          </w:p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данные, позволяющие однозначно идентифицировать контрагента;</w:t>
            </w:r>
          </w:p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>обязательные</w:t>
            </w:r>
            <w:proofErr w:type="spellEnd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>реквизиты</w:t>
            </w:r>
            <w:proofErr w:type="spellEnd"/>
          </w:p>
        </w:tc>
      </w:tr>
      <w:tr w:rsidR="00CE7F4A" w:rsidRPr="00CE7F4A" w:rsidTr="00CE7F4A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>Суточные</w:t>
            </w:r>
            <w:proofErr w:type="spellEnd"/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E7F4A">
              <w:rPr>
                <w:rStyle w:val="printable"/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</w:tc>
      </w:tr>
      <w:tr w:rsidR="00CE7F4A" w:rsidRPr="00CE7F4A" w:rsidTr="00CE7F4A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Оплата через подотчетное лицо платежей в бюджет (например, госпошлины)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proofErr w:type="spellEnd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>подтверждающий</w:t>
            </w:r>
            <w:proofErr w:type="spellEnd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>оплату</w:t>
            </w:r>
            <w:proofErr w:type="spellEnd"/>
          </w:p>
        </w:tc>
      </w:tr>
      <w:tr w:rsidR="00CE7F4A" w:rsidRPr="00CE7F4A" w:rsidTr="00CE7F4A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Выплата денежных средств через подотчетное лицо - раздатчика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Ведомость с индивидуальными данными всех получателей и их подписями</w:t>
            </w:r>
          </w:p>
        </w:tc>
      </w:tr>
      <w:tr w:rsidR="00CE7F4A" w:rsidRPr="00CE7F4A" w:rsidTr="00CE7F4A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денежных документов - почтовых марок, маркированных конвертов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Реестры по использованию почтовых марок и маркированных конвертов, содержащие информацию об исходящих номерах документов по журналу регистрации исходящей корреспонденции, даты отправления</w:t>
            </w:r>
          </w:p>
        </w:tc>
      </w:tr>
      <w:tr w:rsidR="00CE7F4A" w:rsidRPr="00CE7F4A" w:rsidTr="00CE7F4A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денежных документов при оплате услуг сотовой связи, доступа к сети Интернет - карт оплаты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E7F4A" w:rsidRPr="00CE7F4A" w:rsidRDefault="00CE7F4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>Выписки</w:t>
            </w:r>
            <w:proofErr w:type="spellEnd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>клиентских</w:t>
            </w:r>
            <w:proofErr w:type="spellEnd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F4A">
              <w:rPr>
                <w:rFonts w:ascii="Times New Roman" w:hAnsi="Times New Roman" w:cs="Times New Roman"/>
                <w:sz w:val="24"/>
                <w:szCs w:val="24"/>
              </w:rPr>
              <w:t>счетов</w:t>
            </w:r>
            <w:proofErr w:type="spellEnd"/>
          </w:p>
        </w:tc>
      </w:tr>
    </w:tbl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3.5.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Факт оплаты товаров (работ, услуг) наличными денежными средствами и (или) с использованием платежных карт должен подтверждаться на основании представляемых подотчетными лицами чеков контрольно-кассовой техники.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Fonts w:ascii="Times New Roman" w:hAnsi="Times New Roman" w:cs="Times New Roman"/>
          <w:sz w:val="24"/>
          <w:szCs w:val="24"/>
          <w:lang w:val="ru-RU"/>
        </w:rPr>
        <w:t>При оплате ряда услуг в установленных действующим законодательством случаях факт осуществления расходов может подтверждаться документами, оформленными на бланках строгой отчетности (например, железнодорожными и авиабилетами, электронными билетами). К учету принимаются только бланки строгой отчетности, изготовленные типографским способом или сформированные с использованием специализированных автоматизированных систем.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Fonts w:ascii="Times New Roman" w:hAnsi="Times New Roman" w:cs="Times New Roman"/>
          <w:sz w:val="24"/>
          <w:szCs w:val="24"/>
          <w:lang w:val="ru-RU"/>
        </w:rPr>
        <w:t>В отдельных случаях, предусмотренных действующим законодательством, факт оплаты может подтверждаться на основании документов, оформленных без применения бланков строгой отчетности (товарных чеков, квитанций и т.п.).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3.6.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Факт получения конкретного имущества, оказания (выполнения) определенных услуг (работ) помимо перечисленных выше документов может подтверждается иными документами, прилагаемыми подотчетными лицами к авансовым отчетам. Такие документы должны содержать обязательные реквизиты, приведенные в </w:t>
      </w:r>
      <w:hyperlink r:id="rId13" w:anchor="/document/70103036/entry/9" w:tgtFrame="_blank" w:tooltip="Открыть документ в системе Гарант" w:history="1">
        <w:r w:rsidRPr="00CE7F4A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ru-RU"/>
          </w:rPr>
          <w:t>ст. 9</w:t>
        </w:r>
      </w:hyperlink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Федерального закона от 06.12.2011 </w:t>
      </w:r>
      <w:r w:rsidRPr="00CE7F4A">
        <w:rPr>
          <w:rFonts w:ascii="Times New Roman" w:hAnsi="Times New Roman" w:cs="Times New Roman"/>
          <w:sz w:val="24"/>
          <w:szCs w:val="24"/>
        </w:rPr>
        <w:t>N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402-ФЗ "О бухгалтерском учете", а в установленных действующим законодательством случаях должны быть оформлены по унифицированным формам.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3.7.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Особенности осуществления административно-хозяйственных расходов: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3.7.1.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Сотрудник имеет право расходовать полученные под отчет денежные средства только на те цели, которые указаны в смете.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3.7.2.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Отчетные документы по административно-хозяйственным расходам должны быть датированы не ранее даты получения аванса на соответствующие цели. На товарных чеках (иных документах, прилагаемых к отчету) обязательно должен быть указан адрес торговой точки (магазина), в которой производилась закупка (расходовались денежные средства). Товарные чеки (иные документы, прилагаемые к отчету) должны быть заполнены без помарок, подчисток, исправлений, чернилами одного цвета.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CE7F4A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3.7.3.</w:t>
      </w:r>
      <w:r w:rsidRPr="00CE7F4A">
        <w:rPr>
          <w:rFonts w:ascii="Times New Roman" w:hAnsi="Times New Roman" w:cs="Times New Roman"/>
          <w:sz w:val="24"/>
          <w:szCs w:val="24"/>
          <w:lang w:val="ru-RU"/>
        </w:rPr>
        <w:t xml:space="preserve"> При наличии в отчетных документах нарушений перечисленных выше требований авансовый отчет представляется лично руководителю с письменным объяснением причин нарушений для принятия окончательного решения об оплате (отказе в оплате).</w:t>
      </w: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</w:p>
    <w:p w:rsidR="00CE7F4A" w:rsidRPr="00CE7F4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</w:p>
    <w:p w:rsidR="00905170" w:rsidRPr="00CE7F4A" w:rsidRDefault="00905170" w:rsidP="00CE7F4A">
      <w:pPr>
        <w:pStyle w:val="1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</w:pPr>
    </w:p>
    <w:p w:rsidR="00CE7F4A" w:rsidRPr="00CE7F4A" w:rsidRDefault="00CE7F4A">
      <w:pPr>
        <w:pStyle w:val="1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</w:pPr>
    </w:p>
    <w:sectPr w:rsidR="00CE7F4A" w:rsidRPr="00CE7F4A" w:rsidSect="00A3552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3EEE"/>
    <w:multiLevelType w:val="hybridMultilevel"/>
    <w:tmpl w:val="09AE984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1245F25"/>
    <w:multiLevelType w:val="hybridMultilevel"/>
    <w:tmpl w:val="D8328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B2623A"/>
    <w:multiLevelType w:val="hybridMultilevel"/>
    <w:tmpl w:val="F9A6D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C6182"/>
    <w:multiLevelType w:val="hybridMultilevel"/>
    <w:tmpl w:val="0BC01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B35FDE"/>
    <w:multiLevelType w:val="hybridMultilevel"/>
    <w:tmpl w:val="E61C4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782767"/>
    <w:multiLevelType w:val="hybridMultilevel"/>
    <w:tmpl w:val="994C8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7858F4"/>
    <w:multiLevelType w:val="hybridMultilevel"/>
    <w:tmpl w:val="AAA4C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874CD5"/>
    <w:multiLevelType w:val="hybridMultilevel"/>
    <w:tmpl w:val="875A1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0C1C16"/>
    <w:multiLevelType w:val="hybridMultilevel"/>
    <w:tmpl w:val="81701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965916"/>
    <w:multiLevelType w:val="hybridMultilevel"/>
    <w:tmpl w:val="DA626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B81FB7"/>
    <w:multiLevelType w:val="hybridMultilevel"/>
    <w:tmpl w:val="E83A8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BB0A38"/>
    <w:multiLevelType w:val="hybridMultilevel"/>
    <w:tmpl w:val="5EAE9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480838"/>
    <w:multiLevelType w:val="hybridMultilevel"/>
    <w:tmpl w:val="D3B44F0E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FE33AA"/>
    <w:multiLevelType w:val="hybridMultilevel"/>
    <w:tmpl w:val="E3420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A96563"/>
    <w:multiLevelType w:val="hybridMultilevel"/>
    <w:tmpl w:val="96943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E010C9"/>
    <w:multiLevelType w:val="hybridMultilevel"/>
    <w:tmpl w:val="2CAAD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88F6523"/>
    <w:multiLevelType w:val="hybridMultilevel"/>
    <w:tmpl w:val="4EA6C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A40F2A"/>
    <w:multiLevelType w:val="hybridMultilevel"/>
    <w:tmpl w:val="DAB02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9A69E8"/>
    <w:multiLevelType w:val="hybridMultilevel"/>
    <w:tmpl w:val="6C767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FD71FEB"/>
    <w:multiLevelType w:val="hybridMultilevel"/>
    <w:tmpl w:val="4AEA6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AE5AEB"/>
    <w:multiLevelType w:val="hybridMultilevel"/>
    <w:tmpl w:val="8A5A4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B36102"/>
    <w:multiLevelType w:val="hybridMultilevel"/>
    <w:tmpl w:val="8A4CF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45048FD"/>
    <w:multiLevelType w:val="hybridMultilevel"/>
    <w:tmpl w:val="B2B44772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23" w15:restartNumberingAfterBreak="0">
    <w:nsid w:val="25FB4732"/>
    <w:multiLevelType w:val="hybridMultilevel"/>
    <w:tmpl w:val="48789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6344683"/>
    <w:multiLevelType w:val="hybridMultilevel"/>
    <w:tmpl w:val="C7323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8271DE8"/>
    <w:multiLevelType w:val="hybridMultilevel"/>
    <w:tmpl w:val="E65CF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A8D2C4C"/>
    <w:multiLevelType w:val="hybridMultilevel"/>
    <w:tmpl w:val="F4E6C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ABB714E"/>
    <w:multiLevelType w:val="hybridMultilevel"/>
    <w:tmpl w:val="12EC5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C450D61"/>
    <w:multiLevelType w:val="hybridMultilevel"/>
    <w:tmpl w:val="F9782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C9B6A7E"/>
    <w:multiLevelType w:val="hybridMultilevel"/>
    <w:tmpl w:val="802E0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E3733B0"/>
    <w:multiLevelType w:val="hybridMultilevel"/>
    <w:tmpl w:val="55E49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0805374"/>
    <w:multiLevelType w:val="hybridMultilevel"/>
    <w:tmpl w:val="5A9CA5B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9676C1"/>
    <w:multiLevelType w:val="hybridMultilevel"/>
    <w:tmpl w:val="9BB4C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33658D6"/>
    <w:multiLevelType w:val="hybridMultilevel"/>
    <w:tmpl w:val="83F4C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88D3AEB"/>
    <w:multiLevelType w:val="hybridMultilevel"/>
    <w:tmpl w:val="ADE4A580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A75497A"/>
    <w:multiLevelType w:val="hybridMultilevel"/>
    <w:tmpl w:val="95EC0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A8708C5"/>
    <w:multiLevelType w:val="hybridMultilevel"/>
    <w:tmpl w:val="E4D43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D400BE5"/>
    <w:multiLevelType w:val="hybridMultilevel"/>
    <w:tmpl w:val="1C88E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DCC049E"/>
    <w:multiLevelType w:val="hybridMultilevel"/>
    <w:tmpl w:val="7AF23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F21277D"/>
    <w:multiLevelType w:val="hybridMultilevel"/>
    <w:tmpl w:val="35684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3CD5411"/>
    <w:multiLevelType w:val="hybridMultilevel"/>
    <w:tmpl w:val="A0543CB6"/>
    <w:lvl w:ilvl="0" w:tplc="04190001">
      <w:start w:val="1"/>
      <w:numFmt w:val="bullet"/>
      <w:lvlText w:val=""/>
      <w:lvlJc w:val="left"/>
      <w:pPr>
        <w:ind w:left="12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41" w15:restartNumberingAfterBreak="0">
    <w:nsid w:val="46903743"/>
    <w:multiLevelType w:val="hybridMultilevel"/>
    <w:tmpl w:val="8724E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89674B3"/>
    <w:multiLevelType w:val="hybridMultilevel"/>
    <w:tmpl w:val="8234A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9047536"/>
    <w:multiLevelType w:val="hybridMultilevel"/>
    <w:tmpl w:val="34BEB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A68491F"/>
    <w:multiLevelType w:val="hybridMultilevel"/>
    <w:tmpl w:val="EE42E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0D12ECA"/>
    <w:multiLevelType w:val="hybridMultilevel"/>
    <w:tmpl w:val="5C349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29744F4"/>
    <w:multiLevelType w:val="hybridMultilevel"/>
    <w:tmpl w:val="2BE8E144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4005326"/>
    <w:multiLevelType w:val="hybridMultilevel"/>
    <w:tmpl w:val="21DE9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C953B7"/>
    <w:multiLevelType w:val="hybridMultilevel"/>
    <w:tmpl w:val="6D082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8D93F62"/>
    <w:multiLevelType w:val="hybridMultilevel"/>
    <w:tmpl w:val="90463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9695C56"/>
    <w:multiLevelType w:val="hybridMultilevel"/>
    <w:tmpl w:val="3C0AB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C0E5170"/>
    <w:multiLevelType w:val="hybridMultilevel"/>
    <w:tmpl w:val="65282468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D4449C2"/>
    <w:multiLevelType w:val="hybridMultilevel"/>
    <w:tmpl w:val="BD726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E373101"/>
    <w:multiLevelType w:val="hybridMultilevel"/>
    <w:tmpl w:val="6D4C5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EA94107"/>
    <w:multiLevelType w:val="hybridMultilevel"/>
    <w:tmpl w:val="CB226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FB73632"/>
    <w:multiLevelType w:val="hybridMultilevel"/>
    <w:tmpl w:val="C1A09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0EC11E3"/>
    <w:multiLevelType w:val="hybridMultilevel"/>
    <w:tmpl w:val="DFBCB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381141C"/>
    <w:multiLevelType w:val="hybridMultilevel"/>
    <w:tmpl w:val="AC5E3D5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A981BD5"/>
    <w:multiLevelType w:val="hybridMultilevel"/>
    <w:tmpl w:val="9D00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AC83E99"/>
    <w:multiLevelType w:val="hybridMultilevel"/>
    <w:tmpl w:val="A6C0C18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B556644"/>
    <w:multiLevelType w:val="hybridMultilevel"/>
    <w:tmpl w:val="2BDE3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D511DB0"/>
    <w:multiLevelType w:val="hybridMultilevel"/>
    <w:tmpl w:val="E5940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E86645E"/>
    <w:multiLevelType w:val="hybridMultilevel"/>
    <w:tmpl w:val="1158C8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6E9A6BE3"/>
    <w:multiLevelType w:val="hybridMultilevel"/>
    <w:tmpl w:val="68CE4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1F34663"/>
    <w:multiLevelType w:val="hybridMultilevel"/>
    <w:tmpl w:val="F2868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2795E15"/>
    <w:multiLevelType w:val="hybridMultilevel"/>
    <w:tmpl w:val="4720F824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66" w15:restartNumberingAfterBreak="0">
    <w:nsid w:val="72DD61D5"/>
    <w:multiLevelType w:val="hybridMultilevel"/>
    <w:tmpl w:val="C98A6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68F2B31"/>
    <w:multiLevelType w:val="hybridMultilevel"/>
    <w:tmpl w:val="61709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A4F6947"/>
    <w:multiLevelType w:val="hybridMultilevel"/>
    <w:tmpl w:val="4080F2BC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A666BC6"/>
    <w:multiLevelType w:val="hybridMultilevel"/>
    <w:tmpl w:val="92926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B8A299C"/>
    <w:multiLevelType w:val="hybridMultilevel"/>
    <w:tmpl w:val="F0D4A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C366A6A"/>
    <w:multiLevelType w:val="hybridMultilevel"/>
    <w:tmpl w:val="581EE1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E567158"/>
    <w:multiLevelType w:val="hybridMultilevel"/>
    <w:tmpl w:val="02967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F913509"/>
    <w:multiLevelType w:val="hybridMultilevel"/>
    <w:tmpl w:val="E1C83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137248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6715612">
    <w:abstractNumId w:val="7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391209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741265">
    <w:abstractNumId w:val="6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7006941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386480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0135727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4976411">
    <w:abstractNumId w:val="5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76655454">
    <w:abstractNumId w:val="43"/>
  </w:num>
  <w:num w:numId="10" w16cid:durableId="598638327">
    <w:abstractNumId w:val="5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4002301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20673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344249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764349">
    <w:abstractNumId w:val="4"/>
  </w:num>
  <w:num w:numId="15" w16cid:durableId="92453038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3480957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754856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5089838">
    <w:abstractNumId w:val="6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09507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7633223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48873596">
    <w:abstractNumId w:val="7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8151539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50838042">
    <w:abstractNumId w:val="7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8868593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81062435">
    <w:abstractNumId w:val="5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9696367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27112549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37487584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6565050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27519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4638768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3950190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8543175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243019">
    <w:abstractNumId w:val="6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8868109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93434347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0974012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4340861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5475115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47327062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5185158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592742585">
    <w:abstractNumId w:val="6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19320772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0827304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98848364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828884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782724707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41107929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082096251">
    <w:abstractNumId w:val="6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01851514">
    <w:abstractNumId w:val="6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7305971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71676923">
    <w:abstractNumId w:val="24"/>
  </w:num>
  <w:num w:numId="53" w16cid:durableId="365254264">
    <w:abstractNumId w:val="23"/>
  </w:num>
  <w:num w:numId="54" w16cid:durableId="1861778427">
    <w:abstractNumId w:val="2"/>
  </w:num>
  <w:num w:numId="55" w16cid:durableId="847982042">
    <w:abstractNumId w:val="35"/>
  </w:num>
  <w:num w:numId="56" w16cid:durableId="997802946">
    <w:abstractNumId w:val="14"/>
  </w:num>
  <w:num w:numId="57" w16cid:durableId="801273071">
    <w:abstractNumId w:val="32"/>
  </w:num>
  <w:num w:numId="58" w16cid:durableId="935484645">
    <w:abstractNumId w:val="16"/>
  </w:num>
  <w:num w:numId="59" w16cid:durableId="2104759799">
    <w:abstractNumId w:val="17"/>
  </w:num>
  <w:num w:numId="60" w16cid:durableId="1235507677">
    <w:abstractNumId w:val="48"/>
  </w:num>
  <w:num w:numId="61" w16cid:durableId="710543157">
    <w:abstractNumId w:val="13"/>
  </w:num>
  <w:num w:numId="62" w16cid:durableId="860166547">
    <w:abstractNumId w:val="9"/>
  </w:num>
  <w:num w:numId="63" w16cid:durableId="1253466844">
    <w:abstractNumId w:val="19"/>
  </w:num>
  <w:num w:numId="64" w16cid:durableId="1739129738">
    <w:abstractNumId w:val="37"/>
  </w:num>
  <w:num w:numId="65" w16cid:durableId="2009669448">
    <w:abstractNumId w:val="38"/>
  </w:num>
  <w:num w:numId="66" w16cid:durableId="835458322">
    <w:abstractNumId w:val="31"/>
  </w:num>
  <w:num w:numId="67" w16cid:durableId="83497793">
    <w:abstractNumId w:val="72"/>
  </w:num>
  <w:num w:numId="68" w16cid:durableId="1442338075">
    <w:abstractNumId w:val="62"/>
  </w:num>
  <w:num w:numId="69" w16cid:durableId="818376652">
    <w:abstractNumId w:val="66"/>
  </w:num>
  <w:num w:numId="70" w16cid:durableId="1117026413">
    <w:abstractNumId w:val="47"/>
  </w:num>
  <w:num w:numId="71" w16cid:durableId="1176503821">
    <w:abstractNumId w:val="65"/>
  </w:num>
  <w:num w:numId="72" w16cid:durableId="1197620321">
    <w:abstractNumId w:val="22"/>
  </w:num>
  <w:num w:numId="73" w16cid:durableId="597062741">
    <w:abstractNumId w:val="40"/>
  </w:num>
  <w:num w:numId="74" w16cid:durableId="1376001904">
    <w:abstractNumId w:val="0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6B"/>
    <w:rsid w:val="00047F38"/>
    <w:rsid w:val="000839CD"/>
    <w:rsid w:val="00156204"/>
    <w:rsid w:val="00190EE3"/>
    <w:rsid w:val="001A4917"/>
    <w:rsid w:val="002771C6"/>
    <w:rsid w:val="002C1487"/>
    <w:rsid w:val="002F4F54"/>
    <w:rsid w:val="0031057B"/>
    <w:rsid w:val="00336D02"/>
    <w:rsid w:val="00341AA5"/>
    <w:rsid w:val="0046608F"/>
    <w:rsid w:val="004F3050"/>
    <w:rsid w:val="00502ADC"/>
    <w:rsid w:val="005942B7"/>
    <w:rsid w:val="005D249D"/>
    <w:rsid w:val="005F3F8C"/>
    <w:rsid w:val="007100B0"/>
    <w:rsid w:val="0071057C"/>
    <w:rsid w:val="00792202"/>
    <w:rsid w:val="007E0093"/>
    <w:rsid w:val="00810E8B"/>
    <w:rsid w:val="00822D6D"/>
    <w:rsid w:val="00875254"/>
    <w:rsid w:val="008C5276"/>
    <w:rsid w:val="00905170"/>
    <w:rsid w:val="009B186F"/>
    <w:rsid w:val="00A3552A"/>
    <w:rsid w:val="00A46AE6"/>
    <w:rsid w:val="00A9774F"/>
    <w:rsid w:val="00AD2181"/>
    <w:rsid w:val="00AF4E70"/>
    <w:rsid w:val="00AF5424"/>
    <w:rsid w:val="00B173B6"/>
    <w:rsid w:val="00B55C5C"/>
    <w:rsid w:val="00C70099"/>
    <w:rsid w:val="00C86519"/>
    <w:rsid w:val="00CE7F4A"/>
    <w:rsid w:val="00D27DE2"/>
    <w:rsid w:val="00D7188F"/>
    <w:rsid w:val="00DA526B"/>
    <w:rsid w:val="00E03002"/>
    <w:rsid w:val="00E7102F"/>
    <w:rsid w:val="00EB106D"/>
    <w:rsid w:val="00ED79CA"/>
    <w:rsid w:val="00FB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0E483"/>
  <w15:chartTrackingRefBased/>
  <w15:docId w15:val="{D2970A70-E5F7-4D99-A183-A6F5AF980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2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905170"/>
    <w:pPr>
      <w:spacing w:before="100" w:beforeAutospacing="1" w:after="100" w:afterAutospacing="1"/>
      <w:jc w:val="center"/>
      <w:outlineLvl w:val="0"/>
    </w:pPr>
    <w:rPr>
      <w:rFonts w:ascii="Arial" w:hAnsi="Arial" w:cs="Arial"/>
      <w:b/>
      <w:bCs/>
      <w:color w:val="000000"/>
      <w:kern w:val="3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0093"/>
    <w:pPr>
      <w:pBdr>
        <w:bottom w:val="single" w:sz="4" w:space="1" w:color="823B0B" w:themeColor="accent2" w:themeShade="7F"/>
      </w:pBdr>
      <w:spacing w:before="400" w:after="200" w:line="252" w:lineRule="auto"/>
      <w:jc w:val="center"/>
      <w:outlineLvl w:val="1"/>
    </w:pPr>
    <w:rPr>
      <w:rFonts w:asciiTheme="majorHAnsi" w:eastAsiaTheme="majorEastAsia" w:hAnsiTheme="majorHAnsi" w:cstheme="majorBidi"/>
      <w:caps/>
      <w:color w:val="833C0B" w:themeColor="accent2" w:themeShade="80"/>
      <w:spacing w:val="15"/>
      <w:sz w:val="24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A52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774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774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0093"/>
    <w:rPr>
      <w:rFonts w:asciiTheme="majorHAnsi" w:eastAsiaTheme="majorEastAsia" w:hAnsiTheme="majorHAnsi" w:cstheme="majorBidi"/>
      <w:caps/>
      <w:color w:val="833C0B" w:themeColor="accent2" w:themeShade="80"/>
      <w:spacing w:val="15"/>
      <w:sz w:val="24"/>
      <w:szCs w:val="24"/>
      <w:lang w:val="en-US" w:bidi="en-US"/>
    </w:rPr>
  </w:style>
  <w:style w:type="character" w:styleId="a5">
    <w:name w:val="Hyperlink"/>
    <w:basedOn w:val="a0"/>
    <w:uiPriority w:val="99"/>
    <w:semiHidden/>
    <w:unhideWhenUsed/>
    <w:rsid w:val="007E0093"/>
    <w:rPr>
      <w:strike w:val="0"/>
      <w:dstrike w:val="0"/>
      <w:color w:val="000000"/>
      <w:u w:val="none"/>
      <w:effect w:val="none"/>
    </w:rPr>
  </w:style>
  <w:style w:type="paragraph" w:styleId="a6">
    <w:name w:val="Normal (Web)"/>
    <w:basedOn w:val="a"/>
    <w:uiPriority w:val="99"/>
    <w:unhideWhenUsed/>
    <w:rsid w:val="007E0093"/>
    <w:pPr>
      <w:spacing w:before="100" w:beforeAutospacing="1" w:after="100" w:afterAutospacing="1" w:line="252" w:lineRule="auto"/>
      <w:jc w:val="both"/>
    </w:pPr>
    <w:rPr>
      <w:rFonts w:ascii="Arial" w:eastAsiaTheme="majorEastAsia" w:hAnsi="Arial" w:cs="Arial"/>
      <w:sz w:val="22"/>
      <w:szCs w:val="22"/>
      <w:lang w:val="en-US" w:eastAsia="en-US" w:bidi="en-US"/>
    </w:rPr>
  </w:style>
  <w:style w:type="paragraph" w:styleId="a7">
    <w:name w:val="List Paragraph"/>
    <w:basedOn w:val="a"/>
    <w:uiPriority w:val="34"/>
    <w:qFormat/>
    <w:rsid w:val="007E0093"/>
    <w:pPr>
      <w:spacing w:after="200" w:line="252" w:lineRule="auto"/>
      <w:ind w:left="720"/>
      <w:contextualSpacing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character" w:customStyle="1" w:styleId="printable">
    <w:name w:val="printable"/>
    <w:basedOn w:val="a0"/>
    <w:rsid w:val="007E0093"/>
  </w:style>
  <w:style w:type="paragraph" w:customStyle="1" w:styleId="copyright-info">
    <w:name w:val="copyright-info"/>
    <w:basedOn w:val="a"/>
    <w:rsid w:val="007E0093"/>
    <w:pPr>
      <w:spacing w:before="100" w:beforeAutospacing="1" w:after="100" w:afterAutospacing="1" w:line="252" w:lineRule="auto"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character" w:customStyle="1" w:styleId="sfwc">
    <w:name w:val="sfwc"/>
    <w:basedOn w:val="a0"/>
    <w:rsid w:val="007E0093"/>
  </w:style>
  <w:style w:type="character" w:styleId="a8">
    <w:name w:val="Strong"/>
    <w:uiPriority w:val="22"/>
    <w:qFormat/>
    <w:rsid w:val="007E0093"/>
    <w:rPr>
      <w:b/>
      <w:bCs/>
      <w:color w:val="C45911" w:themeColor="accent2" w:themeShade="BF"/>
      <w:spacing w:val="5"/>
    </w:rPr>
  </w:style>
  <w:style w:type="paragraph" w:customStyle="1" w:styleId="formattext">
    <w:name w:val="formattext"/>
    <w:basedOn w:val="a"/>
    <w:rsid w:val="007E0093"/>
    <w:pPr>
      <w:spacing w:before="100" w:beforeAutospacing="1" w:after="100" w:afterAutospacing="1"/>
    </w:pPr>
    <w:rPr>
      <w:sz w:val="24"/>
      <w:szCs w:val="24"/>
    </w:rPr>
  </w:style>
  <w:style w:type="character" w:customStyle="1" w:styleId="fill">
    <w:name w:val="fill"/>
    <w:basedOn w:val="a0"/>
    <w:rsid w:val="007E0093"/>
  </w:style>
  <w:style w:type="paragraph" w:customStyle="1" w:styleId="21">
    <w:name w:val="Стиль2"/>
    <w:basedOn w:val="a"/>
    <w:link w:val="22"/>
    <w:qFormat/>
    <w:rsid w:val="007E0093"/>
    <w:pPr>
      <w:autoSpaceDE w:val="0"/>
      <w:autoSpaceDN w:val="0"/>
      <w:adjustRightInd w:val="0"/>
      <w:spacing w:line="276" w:lineRule="auto"/>
      <w:ind w:firstLine="540"/>
      <w:jc w:val="both"/>
    </w:pPr>
    <w:rPr>
      <w:rFonts w:ascii="Cambria" w:hAnsi="Cambria"/>
      <w:sz w:val="24"/>
      <w:szCs w:val="24"/>
    </w:rPr>
  </w:style>
  <w:style w:type="character" w:customStyle="1" w:styleId="22">
    <w:name w:val="Стиль2 Знак"/>
    <w:link w:val="21"/>
    <w:rsid w:val="007E0093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05170"/>
    <w:rPr>
      <w:rFonts w:ascii="Arial" w:eastAsia="Times New Roman" w:hAnsi="Arial" w:cs="Arial"/>
      <w:b/>
      <w:bCs/>
      <w:color w:val="000000"/>
      <w:kern w:val="36"/>
      <w:sz w:val="40"/>
      <w:szCs w:val="40"/>
      <w:lang w:eastAsia="ru-RU"/>
    </w:rPr>
  </w:style>
  <w:style w:type="character" w:styleId="a9">
    <w:name w:val="FollowedHyperlink"/>
    <w:basedOn w:val="a0"/>
    <w:uiPriority w:val="99"/>
    <w:semiHidden/>
    <w:unhideWhenUsed/>
    <w:rsid w:val="00905170"/>
    <w:rPr>
      <w:color w:val="954F72" w:themeColor="followedHyperlink"/>
      <w:u w:val="single"/>
    </w:rPr>
  </w:style>
  <w:style w:type="character" w:customStyle="1" w:styleId="enumerated">
    <w:name w:val="enumerated"/>
    <w:basedOn w:val="a0"/>
    <w:rsid w:val="00905170"/>
  </w:style>
  <w:style w:type="paragraph" w:styleId="HTML">
    <w:name w:val="HTML Preformatted"/>
    <w:basedOn w:val="a"/>
    <w:link w:val="HTML0"/>
    <w:uiPriority w:val="99"/>
    <w:semiHidden/>
    <w:unhideWhenUsed/>
    <w:rsid w:val="009051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05170"/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59"/>
    <w:rsid w:val="00C86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Цветовое выделение"/>
    <w:uiPriority w:val="99"/>
    <w:rsid w:val="00D7188F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7188F"/>
    <w:rPr>
      <w:b/>
      <w:bCs/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D7188F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D7188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13" Type="http://schemas.openxmlformats.org/officeDocument/2006/relationships/hyperlink" Target="http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" TargetMode="External"/><Relationship Id="rId12" Type="http://schemas.openxmlformats.org/officeDocument/2006/relationships/hyperlink" Target="http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" TargetMode="External"/><Relationship Id="rId11" Type="http://schemas.openxmlformats.org/officeDocument/2006/relationships/hyperlink" Target="http://internet.garant.ru/" TargetMode="External"/><Relationship Id="rId5" Type="http://schemas.openxmlformats.org/officeDocument/2006/relationships/hyperlink" Target="http://internet.garan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6</Pages>
  <Words>1861</Words>
  <Characters>10613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Максимум Максимум</dc:creator>
  <cp:keywords/>
  <dc:description/>
  <cp:lastModifiedBy>Максимум Максимум</cp:lastModifiedBy>
  <cp:revision>27</cp:revision>
  <cp:lastPrinted>2023-04-19T13:45:00Z</cp:lastPrinted>
  <dcterms:created xsi:type="dcterms:W3CDTF">2020-01-23T11:35:00Z</dcterms:created>
  <dcterms:modified xsi:type="dcterms:W3CDTF">2023-04-19T13:45:00Z</dcterms:modified>
</cp:coreProperties>
</file>